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04B" w:rsidRPr="003B62C6" w:rsidRDefault="00CB42D1" w:rsidP="003B62C6">
      <w:pPr>
        <w:pStyle w:val="Paragrafoelenco"/>
        <w:numPr>
          <w:ilvl w:val="8"/>
          <w:numId w:val="4"/>
        </w:numPr>
        <w:spacing w:after="0" w:line="240" w:lineRule="auto"/>
        <w:ind w:left="5670" w:hanging="425"/>
        <w:jc w:val="both"/>
        <w:rPr>
          <w:rFonts w:ascii="Bookman Old Style" w:hAnsi="Bookman Old Style"/>
          <w:sz w:val="24"/>
          <w:szCs w:val="24"/>
        </w:rPr>
      </w:pPr>
      <w:r w:rsidRPr="0072079F">
        <w:rPr>
          <w:rFonts w:ascii="Bookman Old Style" w:hAnsi="Bookman Old Style"/>
          <w:sz w:val="24"/>
          <w:szCs w:val="24"/>
        </w:rPr>
        <w:t>Al Comune di Roma</w:t>
      </w:r>
    </w:p>
    <w:p w:rsidR="005A504B" w:rsidRPr="003B62C6" w:rsidRDefault="003B62C6" w:rsidP="003B62C6">
      <w:pPr>
        <w:pStyle w:val="Paragrafoelenco"/>
        <w:numPr>
          <w:ilvl w:val="8"/>
          <w:numId w:val="4"/>
        </w:numPr>
        <w:ind w:left="5670" w:hanging="425"/>
        <w:jc w:val="both"/>
        <w:rPr>
          <w:rFonts w:ascii="Bookman Old Style" w:hAnsi="Bookman Old Style"/>
          <w:sz w:val="24"/>
          <w:szCs w:val="24"/>
        </w:rPr>
      </w:pPr>
      <w:r>
        <w:rPr>
          <w:rFonts w:ascii="Bookman Old Style" w:hAnsi="Bookman Old Style"/>
          <w:sz w:val="24"/>
          <w:szCs w:val="24"/>
        </w:rPr>
        <w:t>Al Municipio (se presente)</w:t>
      </w:r>
    </w:p>
    <w:p w:rsidR="005A504B" w:rsidRPr="0072079F" w:rsidRDefault="005A504B" w:rsidP="005A504B">
      <w:pPr>
        <w:pStyle w:val="Paragrafoelenco"/>
        <w:numPr>
          <w:ilvl w:val="8"/>
          <w:numId w:val="4"/>
        </w:numPr>
        <w:spacing w:after="0" w:line="240" w:lineRule="auto"/>
        <w:ind w:left="5670" w:hanging="425"/>
        <w:jc w:val="both"/>
        <w:rPr>
          <w:rFonts w:ascii="Bookman Old Style" w:hAnsi="Bookman Old Style"/>
          <w:sz w:val="24"/>
          <w:szCs w:val="24"/>
        </w:rPr>
      </w:pPr>
      <w:r w:rsidRPr="0072079F">
        <w:rPr>
          <w:rFonts w:ascii="Bookman Old Style" w:hAnsi="Bookman Old Style"/>
          <w:sz w:val="24"/>
          <w:szCs w:val="24"/>
        </w:rPr>
        <w:t>All’A</w:t>
      </w:r>
      <w:r w:rsidR="003B62C6">
        <w:rPr>
          <w:rFonts w:ascii="Bookman Old Style" w:hAnsi="Bookman Old Style"/>
          <w:sz w:val="24"/>
          <w:szCs w:val="24"/>
        </w:rPr>
        <w:t>genzia Regionale per la Protezione Ambientale</w:t>
      </w:r>
    </w:p>
    <w:p w:rsidR="005A504B" w:rsidRPr="005A504B" w:rsidRDefault="005A504B" w:rsidP="005A504B">
      <w:pPr>
        <w:jc w:val="both"/>
        <w:rPr>
          <w:rFonts w:ascii="Bookman Old Style" w:hAnsi="Bookman Old Style"/>
          <w:sz w:val="24"/>
          <w:szCs w:val="24"/>
        </w:rPr>
      </w:pPr>
    </w:p>
    <w:p w:rsidR="00CB42D1" w:rsidRDefault="00CB42D1" w:rsidP="00CB42D1">
      <w:pPr>
        <w:jc w:val="both"/>
        <w:rPr>
          <w:rFonts w:ascii="Bookman Old Style" w:hAnsi="Bookman Old Style"/>
          <w:sz w:val="24"/>
          <w:szCs w:val="24"/>
        </w:rPr>
      </w:pPr>
    </w:p>
    <w:p w:rsidR="00CB42D1" w:rsidRDefault="00CB42D1" w:rsidP="00453B92">
      <w:pPr>
        <w:ind w:left="1134" w:hanging="1134"/>
        <w:jc w:val="both"/>
        <w:rPr>
          <w:rFonts w:ascii="Bookman Old Style" w:hAnsi="Bookman Old Style"/>
          <w:sz w:val="24"/>
          <w:szCs w:val="24"/>
        </w:rPr>
      </w:pPr>
      <w:r>
        <w:rPr>
          <w:rFonts w:ascii="Bookman Old Style" w:hAnsi="Bookman Old Style"/>
          <w:sz w:val="24"/>
          <w:szCs w:val="24"/>
        </w:rPr>
        <w:t xml:space="preserve">Oggetto: </w:t>
      </w:r>
      <w:r w:rsidRPr="00CB42D1">
        <w:rPr>
          <w:rFonts w:ascii="Bookman Old Style" w:hAnsi="Bookman Old Style"/>
          <w:b/>
          <w:sz w:val="24"/>
          <w:szCs w:val="24"/>
        </w:rPr>
        <w:t>Diffida a</w:t>
      </w:r>
      <w:r w:rsidR="003258E2">
        <w:rPr>
          <w:rFonts w:ascii="Bookman Old Style" w:hAnsi="Bookman Old Style"/>
          <w:b/>
          <w:sz w:val="24"/>
          <w:szCs w:val="24"/>
        </w:rPr>
        <w:t xml:space="preserve"> rilasci</w:t>
      </w:r>
      <w:r w:rsidR="00453B92">
        <w:rPr>
          <w:rFonts w:ascii="Bookman Old Style" w:hAnsi="Bookman Old Style"/>
          <w:b/>
          <w:sz w:val="24"/>
          <w:szCs w:val="24"/>
        </w:rPr>
        <w:t>are</w:t>
      </w:r>
      <w:r w:rsidR="00877855">
        <w:rPr>
          <w:rFonts w:ascii="Bookman Old Style" w:hAnsi="Bookman Old Style"/>
          <w:b/>
          <w:sz w:val="24"/>
          <w:szCs w:val="24"/>
        </w:rPr>
        <w:t xml:space="preserve"> </w:t>
      </w:r>
      <w:r w:rsidR="003258E2">
        <w:rPr>
          <w:rFonts w:ascii="Bookman Old Style" w:hAnsi="Bookman Old Style"/>
          <w:b/>
          <w:sz w:val="24"/>
          <w:szCs w:val="24"/>
        </w:rPr>
        <w:t xml:space="preserve">autorizzazione ex art. 87 e segg. </w:t>
      </w:r>
      <w:proofErr w:type="spellStart"/>
      <w:r w:rsidR="003258E2">
        <w:rPr>
          <w:rFonts w:ascii="Bookman Old Style" w:hAnsi="Bookman Old Style"/>
          <w:b/>
          <w:sz w:val="24"/>
          <w:szCs w:val="24"/>
        </w:rPr>
        <w:t>D.Lgs.</w:t>
      </w:r>
      <w:proofErr w:type="spellEnd"/>
      <w:r w:rsidR="003258E2">
        <w:rPr>
          <w:rFonts w:ascii="Bookman Old Style" w:hAnsi="Bookman Old Style"/>
          <w:b/>
          <w:sz w:val="24"/>
          <w:szCs w:val="24"/>
        </w:rPr>
        <w:t xml:space="preserve"> 259/2003</w:t>
      </w:r>
      <w:r w:rsidRPr="00CB42D1">
        <w:rPr>
          <w:rFonts w:ascii="Bookman Old Style" w:hAnsi="Bookman Old Style"/>
          <w:b/>
          <w:sz w:val="24"/>
          <w:szCs w:val="24"/>
        </w:rPr>
        <w:t xml:space="preserve"> </w:t>
      </w:r>
      <w:r w:rsidR="003258E2">
        <w:rPr>
          <w:rFonts w:ascii="Bookman Old Style" w:hAnsi="Bookman Old Style"/>
          <w:b/>
          <w:sz w:val="24"/>
          <w:szCs w:val="24"/>
        </w:rPr>
        <w:t>per</w:t>
      </w:r>
      <w:r w:rsidR="009060C0">
        <w:rPr>
          <w:rFonts w:ascii="Bookman Old Style" w:hAnsi="Bookman Old Style"/>
          <w:b/>
          <w:sz w:val="24"/>
          <w:szCs w:val="24"/>
        </w:rPr>
        <w:t xml:space="preserve"> installazione di</w:t>
      </w:r>
      <w:r w:rsidR="003258E2">
        <w:rPr>
          <w:rFonts w:ascii="Bookman Old Style" w:hAnsi="Bookman Old Style"/>
          <w:b/>
          <w:sz w:val="24"/>
          <w:szCs w:val="24"/>
        </w:rPr>
        <w:t xml:space="preserve"> </w:t>
      </w:r>
      <w:r w:rsidRPr="00CB42D1">
        <w:rPr>
          <w:rFonts w:ascii="Bookman Old Style" w:hAnsi="Bookman Old Style"/>
          <w:b/>
          <w:sz w:val="24"/>
          <w:szCs w:val="24"/>
        </w:rPr>
        <w:t xml:space="preserve">impianti di telefonia mobile e tecnologie </w:t>
      </w:r>
      <w:r w:rsidR="00E25627">
        <w:rPr>
          <w:rFonts w:ascii="Bookman Old Style" w:hAnsi="Bookman Old Style"/>
          <w:b/>
          <w:sz w:val="24"/>
          <w:szCs w:val="24"/>
        </w:rPr>
        <w:t>as</w:t>
      </w:r>
      <w:r w:rsidRPr="00CB42D1">
        <w:rPr>
          <w:rFonts w:ascii="Bookman Old Style" w:hAnsi="Bookman Old Style"/>
          <w:b/>
          <w:sz w:val="24"/>
          <w:szCs w:val="24"/>
        </w:rPr>
        <w:t>simila</w:t>
      </w:r>
      <w:r w:rsidR="00E25627">
        <w:rPr>
          <w:rFonts w:ascii="Bookman Old Style" w:hAnsi="Bookman Old Style"/>
          <w:b/>
          <w:sz w:val="24"/>
          <w:szCs w:val="24"/>
        </w:rPr>
        <w:t>bil</w:t>
      </w:r>
      <w:r w:rsidRPr="00CB42D1">
        <w:rPr>
          <w:rFonts w:ascii="Bookman Old Style" w:hAnsi="Bookman Old Style"/>
          <w:b/>
          <w:sz w:val="24"/>
          <w:szCs w:val="24"/>
        </w:rPr>
        <w:t>i</w:t>
      </w:r>
      <w:r w:rsidR="00E25627">
        <w:rPr>
          <w:rFonts w:ascii="Bookman Old Style" w:hAnsi="Bookman Old Style"/>
          <w:b/>
          <w:sz w:val="24"/>
          <w:szCs w:val="24"/>
        </w:rPr>
        <w:t>,</w:t>
      </w:r>
      <w:r w:rsidRPr="00CB42D1">
        <w:rPr>
          <w:rFonts w:ascii="Bookman Old Style" w:hAnsi="Bookman Old Style"/>
          <w:b/>
          <w:sz w:val="24"/>
          <w:szCs w:val="24"/>
        </w:rPr>
        <w:t xml:space="preserve"> causa ipersensibilità</w:t>
      </w:r>
      <w:r w:rsidR="0072079F">
        <w:rPr>
          <w:rFonts w:ascii="Bookman Old Style" w:hAnsi="Bookman Old Style"/>
          <w:b/>
          <w:sz w:val="24"/>
          <w:szCs w:val="24"/>
        </w:rPr>
        <w:t>/interferenza</w:t>
      </w:r>
      <w:r w:rsidRPr="00CB42D1">
        <w:rPr>
          <w:rFonts w:ascii="Bookman Old Style" w:hAnsi="Bookman Old Style"/>
          <w:b/>
          <w:sz w:val="24"/>
          <w:szCs w:val="24"/>
        </w:rPr>
        <w:t xml:space="preserve"> ai campi elettromagnetici.</w:t>
      </w:r>
    </w:p>
    <w:p w:rsidR="00DB4B97" w:rsidRDefault="00DB4B97" w:rsidP="00CB42D1">
      <w:pPr>
        <w:ind w:left="993" w:hanging="993"/>
        <w:jc w:val="both"/>
        <w:rPr>
          <w:rFonts w:ascii="Bookman Old Style" w:hAnsi="Bookman Old Style"/>
          <w:sz w:val="24"/>
          <w:szCs w:val="24"/>
        </w:rPr>
      </w:pPr>
    </w:p>
    <w:p w:rsidR="00DB4B97" w:rsidRDefault="00DB4B97" w:rsidP="00DB4B97">
      <w:pPr>
        <w:jc w:val="both"/>
        <w:rPr>
          <w:rFonts w:ascii="Bookman Old Style" w:hAnsi="Bookman Old Style"/>
          <w:sz w:val="24"/>
          <w:szCs w:val="24"/>
        </w:rPr>
      </w:pPr>
      <w:r>
        <w:rPr>
          <w:rFonts w:ascii="Bookman Old Style" w:hAnsi="Bookman Old Style"/>
          <w:sz w:val="24"/>
          <w:szCs w:val="24"/>
        </w:rPr>
        <w:t xml:space="preserve">Il/la sottoscritto/a </w:t>
      </w:r>
      <w:proofErr w:type="spellStart"/>
      <w:r>
        <w:rPr>
          <w:rFonts w:ascii="Bookman Old Style" w:hAnsi="Bookman Old Style"/>
          <w:sz w:val="24"/>
          <w:szCs w:val="24"/>
        </w:rPr>
        <w:t>…………………</w:t>
      </w:r>
      <w:r w:rsidR="00F01DDA">
        <w:rPr>
          <w:rFonts w:ascii="Bookman Old Style" w:hAnsi="Bookman Old Style"/>
          <w:sz w:val="24"/>
          <w:szCs w:val="24"/>
        </w:rPr>
        <w:t>…………</w:t>
      </w:r>
      <w:proofErr w:type="spellEnd"/>
      <w:r w:rsidR="00F01DDA">
        <w:rPr>
          <w:rFonts w:ascii="Bookman Old Style" w:hAnsi="Bookman Old Style"/>
          <w:sz w:val="24"/>
          <w:szCs w:val="24"/>
        </w:rPr>
        <w:t>..</w:t>
      </w:r>
      <w:r>
        <w:rPr>
          <w:rFonts w:ascii="Bookman Old Style" w:hAnsi="Bookman Old Style"/>
          <w:sz w:val="24"/>
          <w:szCs w:val="24"/>
        </w:rPr>
        <w:t xml:space="preserve">, residente a </w:t>
      </w:r>
      <w:r w:rsidR="00F01DDA">
        <w:rPr>
          <w:rFonts w:ascii="Bookman Old Style" w:hAnsi="Bookman Old Style"/>
          <w:sz w:val="24"/>
          <w:szCs w:val="24"/>
        </w:rPr>
        <w:t>…..</w:t>
      </w:r>
      <w:proofErr w:type="spellStart"/>
      <w:r>
        <w:rPr>
          <w:rFonts w:ascii="Bookman Old Style" w:hAnsi="Bookman Old Style"/>
          <w:sz w:val="24"/>
          <w:szCs w:val="24"/>
        </w:rPr>
        <w:t>…………………</w:t>
      </w:r>
      <w:proofErr w:type="spellEnd"/>
      <w:r>
        <w:rPr>
          <w:rFonts w:ascii="Bookman Old Style" w:hAnsi="Bookman Old Style"/>
          <w:sz w:val="24"/>
          <w:szCs w:val="24"/>
        </w:rPr>
        <w:t>.. rappresenta quanto segue:</w:t>
      </w:r>
    </w:p>
    <w:p w:rsidR="00835942" w:rsidRDefault="00DB4B97" w:rsidP="00F01DDA">
      <w:pPr>
        <w:pStyle w:val="Paragrafoelenco"/>
        <w:numPr>
          <w:ilvl w:val="0"/>
          <w:numId w:val="1"/>
        </w:numPr>
        <w:spacing w:after="240" w:line="276" w:lineRule="auto"/>
        <w:ind w:left="284" w:hanging="284"/>
        <w:jc w:val="both"/>
        <w:rPr>
          <w:rFonts w:ascii="Bookman Old Style" w:hAnsi="Bookman Old Style"/>
          <w:sz w:val="24"/>
          <w:szCs w:val="24"/>
        </w:rPr>
      </w:pPr>
      <w:r>
        <w:rPr>
          <w:rFonts w:ascii="Bookman Old Style" w:hAnsi="Bookman Old Style"/>
          <w:sz w:val="24"/>
          <w:szCs w:val="24"/>
        </w:rPr>
        <w:t xml:space="preserve">È </w:t>
      </w:r>
      <w:r w:rsidR="00E25627">
        <w:rPr>
          <w:rFonts w:ascii="Bookman Old Style" w:hAnsi="Bookman Old Style"/>
          <w:sz w:val="24"/>
          <w:szCs w:val="24"/>
        </w:rPr>
        <w:t xml:space="preserve">attualmente </w:t>
      </w:r>
      <w:r>
        <w:rPr>
          <w:rFonts w:ascii="Bookman Old Style" w:hAnsi="Bookman Old Style"/>
          <w:sz w:val="24"/>
          <w:szCs w:val="24"/>
        </w:rPr>
        <w:t>affetto dalla patologia</w:t>
      </w:r>
      <w:r w:rsidR="00E25627">
        <w:rPr>
          <w:rFonts w:ascii="Bookman Old Style" w:hAnsi="Bookman Old Style"/>
          <w:sz w:val="24"/>
          <w:szCs w:val="24"/>
        </w:rPr>
        <w:t xml:space="preserve"> descritta:</w:t>
      </w:r>
    </w:p>
    <w:p w:rsidR="00877855" w:rsidRPr="00835942" w:rsidRDefault="00DB4B97" w:rsidP="00835942">
      <w:pPr>
        <w:pStyle w:val="Paragrafoelenco"/>
        <w:spacing w:after="240" w:line="276" w:lineRule="auto"/>
        <w:ind w:left="284"/>
        <w:jc w:val="both"/>
        <w:rPr>
          <w:rFonts w:ascii="Bookman Old Style" w:hAnsi="Bookman Old Style"/>
          <w:sz w:val="8"/>
          <w:szCs w:val="8"/>
        </w:rPr>
      </w:pPr>
      <w:r w:rsidRPr="00835942">
        <w:rPr>
          <w:rFonts w:ascii="Bookman Old Style" w:hAnsi="Bookman Old Style"/>
          <w:sz w:val="8"/>
          <w:szCs w:val="8"/>
        </w:rPr>
        <w:t xml:space="preserve"> </w:t>
      </w:r>
    </w:p>
    <w:p w:rsidR="00877855" w:rsidRDefault="00877855" w:rsidP="00877855">
      <w:pPr>
        <w:pStyle w:val="Paragrafoelenco"/>
        <w:numPr>
          <w:ilvl w:val="1"/>
          <w:numId w:val="1"/>
        </w:numPr>
        <w:spacing w:after="120" w:line="240" w:lineRule="auto"/>
        <w:ind w:left="568" w:hanging="284"/>
        <w:jc w:val="both"/>
        <w:rPr>
          <w:rFonts w:ascii="Bookman Old Style" w:hAnsi="Bookman Old Style"/>
          <w:sz w:val="24"/>
          <w:szCs w:val="24"/>
        </w:rPr>
      </w:pPr>
      <w:r>
        <w:rPr>
          <w:rFonts w:ascii="Bookman Old Style" w:hAnsi="Bookman Old Style"/>
          <w:sz w:val="24"/>
          <w:szCs w:val="24"/>
        </w:rPr>
        <w:t>I</w:t>
      </w:r>
      <w:r w:rsidR="00DB4B97">
        <w:rPr>
          <w:rFonts w:ascii="Bookman Old Style" w:hAnsi="Bookman Old Style"/>
          <w:sz w:val="24"/>
          <w:szCs w:val="24"/>
        </w:rPr>
        <w:t xml:space="preserve">persensibilità ai campi elettromagnetici a radio frequenza, con diagnosi </w:t>
      </w:r>
      <w:r w:rsidR="00E25627">
        <w:rPr>
          <w:rFonts w:ascii="Bookman Old Style" w:hAnsi="Bookman Old Style"/>
          <w:sz w:val="24"/>
          <w:szCs w:val="24"/>
        </w:rPr>
        <w:t>in data</w:t>
      </w:r>
      <w:r w:rsidR="00DB4B97">
        <w:rPr>
          <w:rFonts w:ascii="Bookman Old Style" w:hAnsi="Bookman Old Style"/>
          <w:sz w:val="24"/>
          <w:szCs w:val="24"/>
        </w:rPr>
        <w:t xml:space="preserve"> </w:t>
      </w:r>
      <w:proofErr w:type="spellStart"/>
      <w:r w:rsidR="00DB4B97">
        <w:rPr>
          <w:rFonts w:ascii="Bookman Old Style" w:hAnsi="Bookman Old Style"/>
          <w:sz w:val="24"/>
          <w:szCs w:val="24"/>
        </w:rPr>
        <w:t>…………</w:t>
      </w:r>
      <w:r>
        <w:rPr>
          <w:rFonts w:ascii="Bookman Old Style" w:hAnsi="Bookman Old Style"/>
          <w:sz w:val="24"/>
          <w:szCs w:val="24"/>
        </w:rPr>
        <w:t>…</w:t>
      </w:r>
      <w:proofErr w:type="spellEnd"/>
      <w:r>
        <w:rPr>
          <w:rFonts w:ascii="Bookman Old Style" w:hAnsi="Bookman Old Style"/>
          <w:sz w:val="24"/>
          <w:szCs w:val="24"/>
        </w:rPr>
        <w:t>.</w:t>
      </w:r>
      <w:r w:rsidR="00DB4B97">
        <w:rPr>
          <w:rFonts w:ascii="Bookman Old Style" w:hAnsi="Bookman Old Style"/>
          <w:sz w:val="24"/>
          <w:szCs w:val="24"/>
        </w:rPr>
        <w:t xml:space="preserve"> </w:t>
      </w:r>
      <w:r w:rsidR="00E25627">
        <w:rPr>
          <w:rFonts w:ascii="Bookman Old Style" w:hAnsi="Bookman Old Style"/>
          <w:sz w:val="24"/>
          <w:szCs w:val="24"/>
        </w:rPr>
        <w:t>s</w:t>
      </w:r>
      <w:r w:rsidR="00DB4B97">
        <w:rPr>
          <w:rFonts w:ascii="Bookman Old Style" w:hAnsi="Bookman Old Style"/>
          <w:sz w:val="24"/>
          <w:szCs w:val="24"/>
        </w:rPr>
        <w:t xml:space="preserve">ottoscritta dal dott. </w:t>
      </w:r>
      <w:proofErr w:type="spellStart"/>
      <w:r>
        <w:rPr>
          <w:rFonts w:ascii="Bookman Old Style" w:hAnsi="Bookman Old Style"/>
          <w:sz w:val="24"/>
          <w:szCs w:val="24"/>
        </w:rPr>
        <w:t>….</w:t>
      </w:r>
      <w:r w:rsidR="00DB4B97">
        <w:rPr>
          <w:rFonts w:ascii="Bookman Old Style" w:hAnsi="Bookman Old Style"/>
          <w:sz w:val="24"/>
          <w:szCs w:val="24"/>
        </w:rPr>
        <w:t>…………</w:t>
      </w:r>
      <w:r>
        <w:rPr>
          <w:rFonts w:ascii="Bookman Old Style" w:hAnsi="Bookman Old Style"/>
          <w:sz w:val="24"/>
          <w:szCs w:val="24"/>
        </w:rPr>
        <w:t>……</w:t>
      </w:r>
      <w:proofErr w:type="spellEnd"/>
      <w:r w:rsidR="00DB4B97">
        <w:rPr>
          <w:rFonts w:ascii="Bookman Old Style" w:hAnsi="Bookman Old Style"/>
          <w:sz w:val="24"/>
          <w:szCs w:val="24"/>
        </w:rPr>
        <w:t>;</w:t>
      </w:r>
    </w:p>
    <w:p w:rsidR="00877855" w:rsidRPr="00877855" w:rsidRDefault="00877855" w:rsidP="00877855">
      <w:pPr>
        <w:spacing w:after="120" w:line="240" w:lineRule="auto"/>
        <w:ind w:left="284"/>
        <w:jc w:val="both"/>
        <w:rPr>
          <w:rFonts w:ascii="Bookman Old Style" w:hAnsi="Bookman Old Style"/>
          <w:sz w:val="24"/>
          <w:szCs w:val="24"/>
        </w:rPr>
      </w:pPr>
      <w:r>
        <w:rPr>
          <w:rFonts w:ascii="Bookman Old Style" w:hAnsi="Bookman Old Style"/>
          <w:sz w:val="24"/>
          <w:szCs w:val="24"/>
        </w:rPr>
        <w:t>oppure</w:t>
      </w:r>
    </w:p>
    <w:p w:rsidR="00C10F6F" w:rsidRPr="00877855" w:rsidRDefault="00DB4B97" w:rsidP="00877855">
      <w:pPr>
        <w:pStyle w:val="Paragrafoelenco"/>
        <w:numPr>
          <w:ilvl w:val="1"/>
          <w:numId w:val="1"/>
        </w:numPr>
        <w:spacing w:after="240" w:line="276" w:lineRule="auto"/>
        <w:ind w:left="567" w:hanging="283"/>
        <w:jc w:val="both"/>
        <w:rPr>
          <w:rFonts w:ascii="Bookman Old Style" w:hAnsi="Bookman Old Style"/>
          <w:sz w:val="24"/>
          <w:szCs w:val="24"/>
        </w:rPr>
      </w:pPr>
      <w:r w:rsidRPr="00877855">
        <w:rPr>
          <w:rFonts w:ascii="Bookman Old Style" w:hAnsi="Bookman Old Style"/>
          <w:sz w:val="24"/>
          <w:szCs w:val="24"/>
        </w:rPr>
        <w:t xml:space="preserve">E’ portatore </w:t>
      </w:r>
      <w:r w:rsidR="00E25627" w:rsidRPr="00877855">
        <w:rPr>
          <w:rFonts w:ascii="Bookman Old Style" w:hAnsi="Bookman Old Style"/>
          <w:sz w:val="24"/>
          <w:szCs w:val="24"/>
        </w:rPr>
        <w:t xml:space="preserve">di </w:t>
      </w:r>
      <w:r w:rsidRPr="00877855">
        <w:rPr>
          <w:rFonts w:ascii="Bookman Old Style" w:hAnsi="Bookman Old Style"/>
          <w:sz w:val="24"/>
          <w:szCs w:val="24"/>
        </w:rPr>
        <w:t>pacemaker o di apparecchi elettromedicali</w:t>
      </w:r>
      <w:r w:rsidR="00E25627" w:rsidRPr="00877855">
        <w:rPr>
          <w:rFonts w:ascii="Bookman Old Style" w:hAnsi="Bookman Old Style"/>
          <w:sz w:val="24"/>
          <w:szCs w:val="24"/>
        </w:rPr>
        <w:t>,</w:t>
      </w:r>
      <w:r w:rsidR="00E25627" w:rsidRPr="00877855">
        <w:rPr>
          <w:rFonts w:ascii="Bookman Old Style" w:hAnsi="Bookman Old Style" w:cs="Times New Roman"/>
          <w:sz w:val="24"/>
          <w:szCs w:val="24"/>
        </w:rPr>
        <w:t xml:space="preserve"> a seguito della diagnosi effettuata dal dott. </w:t>
      </w:r>
      <w:proofErr w:type="spellStart"/>
      <w:r w:rsidR="00E25627" w:rsidRPr="00877855">
        <w:rPr>
          <w:rFonts w:ascii="Bookman Old Style" w:hAnsi="Bookman Old Style" w:cs="Times New Roman"/>
          <w:sz w:val="24"/>
          <w:szCs w:val="24"/>
        </w:rPr>
        <w:t>……</w:t>
      </w:r>
      <w:r w:rsidR="00877855">
        <w:rPr>
          <w:rFonts w:ascii="Bookman Old Style" w:hAnsi="Bookman Old Style" w:cs="Times New Roman"/>
          <w:sz w:val="24"/>
          <w:szCs w:val="24"/>
        </w:rPr>
        <w:t>…………</w:t>
      </w:r>
      <w:proofErr w:type="spellEnd"/>
      <w:r w:rsidR="00877855">
        <w:rPr>
          <w:rFonts w:ascii="Bookman Old Style" w:hAnsi="Bookman Old Style" w:cs="Times New Roman"/>
          <w:sz w:val="24"/>
          <w:szCs w:val="24"/>
        </w:rPr>
        <w:t>..</w:t>
      </w:r>
      <w:r w:rsidR="00E25627" w:rsidRPr="00877855">
        <w:rPr>
          <w:rFonts w:ascii="Bookman Old Style" w:hAnsi="Bookman Old Style" w:cs="Times New Roman"/>
          <w:sz w:val="24"/>
          <w:szCs w:val="24"/>
        </w:rPr>
        <w:t xml:space="preserve">  in data </w:t>
      </w:r>
      <w:proofErr w:type="spellStart"/>
      <w:r w:rsidR="00E25627" w:rsidRPr="00877855">
        <w:rPr>
          <w:rFonts w:ascii="Bookman Old Style" w:hAnsi="Bookman Old Style" w:cs="Times New Roman"/>
          <w:sz w:val="24"/>
          <w:szCs w:val="24"/>
        </w:rPr>
        <w:t>…………</w:t>
      </w:r>
      <w:r w:rsidR="00877855">
        <w:rPr>
          <w:rFonts w:ascii="Bookman Old Style" w:hAnsi="Bookman Old Style" w:cs="Times New Roman"/>
          <w:sz w:val="24"/>
          <w:szCs w:val="24"/>
        </w:rPr>
        <w:t>…</w:t>
      </w:r>
      <w:proofErr w:type="spellEnd"/>
      <w:r w:rsidR="00E25627" w:rsidRPr="00877855">
        <w:rPr>
          <w:rFonts w:ascii="Bookman Old Style" w:hAnsi="Bookman Old Style" w:cs="Times New Roman"/>
          <w:sz w:val="24"/>
          <w:szCs w:val="24"/>
        </w:rPr>
        <w:t>;</w:t>
      </w:r>
    </w:p>
    <w:p w:rsidR="001D0253" w:rsidRPr="001D0253" w:rsidRDefault="001D0253" w:rsidP="001D0253">
      <w:pPr>
        <w:pStyle w:val="Paragrafoelenco"/>
        <w:spacing w:after="240" w:line="276" w:lineRule="auto"/>
        <w:ind w:left="284"/>
        <w:jc w:val="both"/>
        <w:rPr>
          <w:sz w:val="8"/>
          <w:szCs w:val="8"/>
        </w:rPr>
      </w:pPr>
    </w:p>
    <w:p w:rsidR="001D0253" w:rsidRPr="001D0253" w:rsidRDefault="00E25627" w:rsidP="001D0253">
      <w:pPr>
        <w:pStyle w:val="Paragrafoelenco"/>
        <w:numPr>
          <w:ilvl w:val="0"/>
          <w:numId w:val="1"/>
        </w:numPr>
        <w:spacing w:after="240" w:line="276" w:lineRule="auto"/>
        <w:ind w:left="284" w:hanging="284"/>
        <w:jc w:val="both"/>
      </w:pPr>
      <w:r>
        <w:rPr>
          <w:rFonts w:ascii="Bookman Old Style" w:hAnsi="Bookman Old Style"/>
          <w:sz w:val="24"/>
          <w:szCs w:val="24"/>
        </w:rPr>
        <w:t>Considerato che la ipersensibilità elettromagneti</w:t>
      </w:r>
      <w:r w:rsidR="004E7603">
        <w:rPr>
          <w:rFonts w:ascii="Bookman Old Style" w:hAnsi="Bookman Old Style"/>
          <w:sz w:val="24"/>
          <w:szCs w:val="24"/>
        </w:rPr>
        <w:t>ca</w:t>
      </w:r>
      <w:r>
        <w:rPr>
          <w:rFonts w:ascii="Bookman Old Style" w:hAnsi="Bookman Old Style"/>
          <w:sz w:val="24"/>
          <w:szCs w:val="24"/>
        </w:rPr>
        <w:t xml:space="preserve"> è una patologia diffusa nel mondo, al punto da costringere milioni di persone a modificare i propri stili di vita, per evitare di subire gli effetti </w:t>
      </w:r>
      <w:r w:rsidR="004E7603">
        <w:rPr>
          <w:rFonts w:ascii="Bookman Old Style" w:hAnsi="Bookman Old Style"/>
          <w:sz w:val="24"/>
          <w:szCs w:val="24"/>
        </w:rPr>
        <w:t>di una esposizione ubiquitaria e inconsapevole</w:t>
      </w:r>
      <w:r w:rsidR="0016172E">
        <w:rPr>
          <w:rFonts w:ascii="Bookman Old Style" w:hAnsi="Bookman Old Style"/>
          <w:sz w:val="24"/>
          <w:szCs w:val="24"/>
        </w:rPr>
        <w:t xml:space="preserve"> dei campi elettromagnetici in alta e bassa frequenza</w:t>
      </w:r>
      <w:r w:rsidR="004E7603">
        <w:rPr>
          <w:rFonts w:ascii="Bookman Old Style" w:hAnsi="Bookman Old Style"/>
          <w:sz w:val="24"/>
          <w:szCs w:val="24"/>
        </w:rPr>
        <w:t>;</w:t>
      </w:r>
    </w:p>
    <w:p w:rsidR="001D0253" w:rsidRPr="001D0253" w:rsidRDefault="001D0253" w:rsidP="001D0253">
      <w:pPr>
        <w:pStyle w:val="Paragrafoelenco"/>
        <w:spacing w:after="240" w:line="276" w:lineRule="auto"/>
        <w:ind w:left="284"/>
        <w:jc w:val="both"/>
        <w:rPr>
          <w:sz w:val="8"/>
          <w:szCs w:val="8"/>
        </w:rPr>
      </w:pPr>
    </w:p>
    <w:p w:rsidR="001D0253" w:rsidRPr="001D0253" w:rsidRDefault="004E7603" w:rsidP="001D0253">
      <w:pPr>
        <w:pStyle w:val="Paragrafoelenco"/>
        <w:numPr>
          <w:ilvl w:val="0"/>
          <w:numId w:val="1"/>
        </w:numPr>
        <w:spacing w:after="240" w:line="276" w:lineRule="auto"/>
        <w:ind w:left="284" w:hanging="284"/>
        <w:jc w:val="both"/>
      </w:pPr>
      <w:r>
        <w:rPr>
          <w:rFonts w:ascii="Bookman Old Style" w:hAnsi="Bookman Old Style"/>
          <w:sz w:val="24"/>
          <w:szCs w:val="24"/>
        </w:rPr>
        <w:t xml:space="preserve">Che negli ultimi anni si registra una forte incidenza di tale sindrome, a causa della </w:t>
      </w:r>
      <w:r w:rsidR="00B72CC0">
        <w:rPr>
          <w:rFonts w:ascii="Bookman Old Style" w:hAnsi="Bookman Old Style"/>
          <w:sz w:val="24"/>
          <w:szCs w:val="24"/>
        </w:rPr>
        <w:t xml:space="preserve">notevole </w:t>
      </w:r>
      <w:r>
        <w:rPr>
          <w:rFonts w:ascii="Bookman Old Style" w:hAnsi="Bookman Old Style"/>
          <w:sz w:val="24"/>
          <w:szCs w:val="24"/>
        </w:rPr>
        <w:t>diffusione delle reti e trasmissioni wireless locali e globali</w:t>
      </w:r>
      <w:r w:rsidR="00131E50">
        <w:rPr>
          <w:rFonts w:ascii="Bookman Old Style" w:hAnsi="Bookman Old Style"/>
          <w:sz w:val="24"/>
          <w:szCs w:val="24"/>
        </w:rPr>
        <w:t>;</w:t>
      </w:r>
    </w:p>
    <w:p w:rsidR="001D0253" w:rsidRPr="001D0253" w:rsidRDefault="001D0253" w:rsidP="001D0253">
      <w:pPr>
        <w:pStyle w:val="Paragrafoelenco"/>
        <w:spacing w:after="240" w:line="276" w:lineRule="auto"/>
        <w:ind w:left="284"/>
        <w:jc w:val="both"/>
        <w:rPr>
          <w:sz w:val="8"/>
          <w:szCs w:val="8"/>
        </w:rPr>
      </w:pPr>
    </w:p>
    <w:p w:rsidR="001D0253" w:rsidRPr="001352BD" w:rsidRDefault="00F01DDA" w:rsidP="001D0253">
      <w:pPr>
        <w:pStyle w:val="Paragrafoelenco"/>
        <w:numPr>
          <w:ilvl w:val="0"/>
          <w:numId w:val="1"/>
        </w:numPr>
        <w:spacing w:after="240" w:line="276" w:lineRule="auto"/>
        <w:ind w:left="284" w:hanging="284"/>
        <w:jc w:val="both"/>
      </w:pPr>
      <w:r w:rsidRPr="001D0253">
        <w:rPr>
          <w:rFonts w:ascii="Bookman Old Style" w:hAnsi="Bookman Old Style"/>
          <w:sz w:val="24"/>
          <w:szCs w:val="24"/>
        </w:rPr>
        <w:t>Premesso che</w:t>
      </w:r>
      <w:r w:rsidR="001D0253" w:rsidRPr="001D0253">
        <w:rPr>
          <w:rFonts w:ascii="Bookman Old Style" w:hAnsi="Bookman Old Style"/>
          <w:sz w:val="24"/>
          <w:szCs w:val="24"/>
        </w:rPr>
        <w:t xml:space="preserve"> l’</w:t>
      </w:r>
      <w:proofErr w:type="spellStart"/>
      <w:r w:rsidR="001D0253" w:rsidRPr="001D0253">
        <w:rPr>
          <w:rFonts w:ascii="Bookman Old Style" w:hAnsi="Bookman Old Style"/>
          <w:sz w:val="24"/>
          <w:szCs w:val="24"/>
        </w:rPr>
        <w:t>elettrosensibilità</w:t>
      </w:r>
      <w:proofErr w:type="spellEnd"/>
      <w:r w:rsidR="001D0253">
        <w:rPr>
          <w:rFonts w:ascii="Bookman Old Style" w:hAnsi="Bookman Old Style"/>
          <w:sz w:val="24"/>
          <w:szCs w:val="24"/>
        </w:rPr>
        <w:t xml:space="preserve"> (EHS)</w:t>
      </w:r>
      <w:r w:rsidR="001D0253" w:rsidRPr="001D0253">
        <w:rPr>
          <w:rFonts w:ascii="Bookman Old Style" w:hAnsi="Bookman Old Style"/>
          <w:sz w:val="24"/>
          <w:szCs w:val="24"/>
        </w:rPr>
        <w:t xml:space="preserve"> può essere definita</w:t>
      </w:r>
      <w:r w:rsidRPr="001D0253">
        <w:rPr>
          <w:rFonts w:ascii="Bookman Old Style" w:hAnsi="Bookman Old Style"/>
          <w:sz w:val="24"/>
          <w:szCs w:val="24"/>
        </w:rPr>
        <w:t xml:space="preserve"> </w:t>
      </w:r>
      <w:r w:rsidR="001D0253" w:rsidRPr="001D0253">
        <w:rPr>
          <w:rFonts w:ascii="Bookman Old Style" w:hAnsi="Bookman Old Style"/>
          <w:sz w:val="24"/>
          <w:szCs w:val="24"/>
        </w:rPr>
        <w:t>“</w:t>
      </w:r>
      <w:r w:rsidR="001D0253" w:rsidRPr="001D0253">
        <w:rPr>
          <w:rFonts w:ascii="Bookman Old Style" w:hAnsi="Bookman Old Style"/>
          <w:i/>
          <w:sz w:val="24"/>
          <w:szCs w:val="24"/>
        </w:rPr>
        <w:t>una reazione avversa ai campi elettromagnetici, caratterizzata da un'ampia gamma di sintomi specifici</w:t>
      </w:r>
      <w:r w:rsidR="00C91558">
        <w:rPr>
          <w:rFonts w:ascii="Bookman Old Style" w:hAnsi="Bookman Old Style"/>
          <w:i/>
          <w:sz w:val="24"/>
          <w:szCs w:val="24"/>
        </w:rPr>
        <w:t>,</w:t>
      </w:r>
      <w:r w:rsidR="001D0253" w:rsidRPr="001D0253">
        <w:rPr>
          <w:rFonts w:ascii="Bookman Old Style" w:hAnsi="Bookman Old Style"/>
          <w:i/>
          <w:sz w:val="24"/>
          <w:szCs w:val="24"/>
        </w:rPr>
        <w:t xml:space="preserve"> </w:t>
      </w:r>
      <w:r w:rsidR="00C91558">
        <w:rPr>
          <w:rFonts w:ascii="Bookman Old Style" w:hAnsi="Bookman Old Style"/>
          <w:i/>
          <w:sz w:val="24"/>
          <w:szCs w:val="24"/>
        </w:rPr>
        <w:t>che</w:t>
      </w:r>
      <w:r w:rsidR="001D0253" w:rsidRPr="001D0253">
        <w:rPr>
          <w:rFonts w:ascii="Bookman Old Style" w:hAnsi="Bookman Old Style"/>
          <w:i/>
          <w:sz w:val="24"/>
          <w:szCs w:val="24"/>
        </w:rPr>
        <w:t xml:space="preserve"> possono variare con intensità e durata e sono vissuti da alcuni come risultato dell'esposizione sul posto di lavoro o in casa a campi elettromagnetici emessi da varie sorgenti, sia a bassa che ad alta frequenza</w:t>
      </w:r>
      <w:r w:rsidR="001D0253" w:rsidRPr="001D0253">
        <w:rPr>
          <w:rFonts w:ascii="Bookman Old Style" w:hAnsi="Bookman Old Style"/>
          <w:sz w:val="24"/>
          <w:szCs w:val="24"/>
        </w:rPr>
        <w:t>” (</w:t>
      </w:r>
      <w:r w:rsidR="00B72CC0">
        <w:rPr>
          <w:rFonts w:ascii="Bookman Old Style" w:hAnsi="Bookman Old Style"/>
          <w:sz w:val="24"/>
          <w:szCs w:val="24"/>
        </w:rPr>
        <w:t xml:space="preserve">Prof. </w:t>
      </w:r>
      <w:r w:rsidR="001D0253" w:rsidRPr="001D0253">
        <w:rPr>
          <w:rFonts w:ascii="Bookman Old Style" w:hAnsi="Bookman Old Style"/>
          <w:sz w:val="24"/>
          <w:szCs w:val="24"/>
        </w:rPr>
        <w:t>Johansson 2006);</w:t>
      </w:r>
    </w:p>
    <w:p w:rsidR="001352BD" w:rsidRPr="00DB65EE" w:rsidRDefault="001352BD" w:rsidP="001352BD">
      <w:pPr>
        <w:pStyle w:val="Paragrafoelenco"/>
        <w:rPr>
          <w:sz w:val="8"/>
          <w:szCs w:val="8"/>
        </w:rPr>
      </w:pPr>
    </w:p>
    <w:p w:rsidR="001352BD" w:rsidRPr="00DB65EE" w:rsidRDefault="001352BD" w:rsidP="001D0253">
      <w:pPr>
        <w:pStyle w:val="Paragrafoelenco"/>
        <w:numPr>
          <w:ilvl w:val="0"/>
          <w:numId w:val="1"/>
        </w:numPr>
        <w:spacing w:after="240" w:line="276" w:lineRule="auto"/>
        <w:ind w:left="284" w:hanging="284"/>
        <w:jc w:val="both"/>
        <w:rPr>
          <w:rFonts w:ascii="Bookman Old Style" w:hAnsi="Bookman Old Style"/>
          <w:sz w:val="24"/>
          <w:szCs w:val="24"/>
        </w:rPr>
      </w:pPr>
      <w:r w:rsidRPr="00DB65EE">
        <w:rPr>
          <w:rFonts w:ascii="Bookman Old Style" w:hAnsi="Bookman Old Style"/>
          <w:sz w:val="24"/>
          <w:szCs w:val="24"/>
        </w:rPr>
        <w:t xml:space="preserve">Visto che diversi studi italiani e francesi hanno trovato delle alterazioni dello stress ossidativo e dei parametri infiammatori nei pazienti con diagnosi di </w:t>
      </w:r>
      <w:proofErr w:type="spellStart"/>
      <w:r w:rsidRPr="00DB65EE">
        <w:rPr>
          <w:rFonts w:ascii="Bookman Old Style" w:hAnsi="Bookman Old Style"/>
          <w:sz w:val="24"/>
          <w:szCs w:val="24"/>
        </w:rPr>
        <w:t>Elettrosensibilità</w:t>
      </w:r>
      <w:proofErr w:type="spellEnd"/>
      <w:r w:rsidRPr="00DB65EE">
        <w:rPr>
          <w:rFonts w:ascii="Bookman Old Style" w:hAnsi="Bookman Old Style"/>
          <w:sz w:val="24"/>
          <w:szCs w:val="24"/>
        </w:rPr>
        <w:t xml:space="preserve"> e che l’aumento dello stress ossidativo è uno dei più frequenti effetti non termici dei campi elettromagnetici che avvengono per bassi livelli di densità di potenza;</w:t>
      </w:r>
      <w:r w:rsidRPr="00DB65EE">
        <w:rPr>
          <w:rStyle w:val="Rimandonotaapidipagina"/>
          <w:rFonts w:ascii="Bookman Old Style" w:hAnsi="Bookman Old Style"/>
          <w:sz w:val="24"/>
          <w:szCs w:val="24"/>
        </w:rPr>
        <w:footnoteReference w:id="1"/>
      </w:r>
      <w:r w:rsidRPr="00DB65EE">
        <w:rPr>
          <w:rFonts w:ascii="Bookman Old Style" w:hAnsi="Bookman Old Style"/>
          <w:sz w:val="24"/>
          <w:szCs w:val="24"/>
          <w:vertAlign w:val="superscript"/>
        </w:rPr>
        <w:t>,</w:t>
      </w:r>
      <w:r w:rsidRPr="00DB65EE">
        <w:rPr>
          <w:rStyle w:val="Rimandonotaapidipagina"/>
          <w:rFonts w:ascii="Bookman Old Style" w:hAnsi="Bookman Old Style"/>
          <w:sz w:val="24"/>
          <w:szCs w:val="24"/>
        </w:rPr>
        <w:footnoteReference w:id="2"/>
      </w:r>
      <w:r w:rsidRPr="00DB65EE">
        <w:rPr>
          <w:rFonts w:ascii="Bookman Old Style" w:hAnsi="Bookman Old Style"/>
          <w:sz w:val="24"/>
          <w:szCs w:val="24"/>
          <w:vertAlign w:val="superscript"/>
        </w:rPr>
        <w:t>,</w:t>
      </w:r>
      <w:r w:rsidRPr="00DB65EE">
        <w:rPr>
          <w:rStyle w:val="Rimandonotaapidipagina"/>
          <w:rFonts w:ascii="Bookman Old Style" w:hAnsi="Bookman Old Style"/>
          <w:sz w:val="24"/>
          <w:szCs w:val="24"/>
        </w:rPr>
        <w:footnoteReference w:id="3"/>
      </w:r>
    </w:p>
    <w:p w:rsidR="001352BD" w:rsidRPr="001352BD" w:rsidRDefault="001352BD" w:rsidP="001352BD">
      <w:pPr>
        <w:pStyle w:val="Paragrafoelenco"/>
        <w:rPr>
          <w:color w:val="FF0000"/>
        </w:rPr>
      </w:pPr>
    </w:p>
    <w:p w:rsidR="001352BD" w:rsidRPr="00DB65EE" w:rsidRDefault="001352BD" w:rsidP="001D0253">
      <w:pPr>
        <w:pStyle w:val="Paragrafoelenco"/>
        <w:numPr>
          <w:ilvl w:val="0"/>
          <w:numId w:val="1"/>
        </w:numPr>
        <w:spacing w:after="240" w:line="276" w:lineRule="auto"/>
        <w:ind w:left="284" w:hanging="284"/>
        <w:jc w:val="both"/>
        <w:rPr>
          <w:rFonts w:ascii="Bookman Old Style" w:hAnsi="Bookman Old Style"/>
          <w:sz w:val="24"/>
          <w:szCs w:val="24"/>
        </w:rPr>
      </w:pPr>
      <w:r w:rsidRPr="00DB65EE">
        <w:rPr>
          <w:rFonts w:ascii="Bookman Old Style" w:hAnsi="Bookman Old Style"/>
          <w:sz w:val="24"/>
          <w:szCs w:val="24"/>
        </w:rPr>
        <w:t>V</w:t>
      </w:r>
      <w:r w:rsidR="00A03B5B">
        <w:rPr>
          <w:rFonts w:ascii="Bookman Old Style" w:hAnsi="Bookman Old Style"/>
          <w:sz w:val="24"/>
          <w:szCs w:val="24"/>
        </w:rPr>
        <w:t>alutati</w:t>
      </w:r>
      <w:r w:rsidRPr="00DB65EE">
        <w:rPr>
          <w:rFonts w:ascii="Bookman Old Style" w:hAnsi="Bookman Old Style"/>
          <w:sz w:val="24"/>
          <w:szCs w:val="24"/>
        </w:rPr>
        <w:t xml:space="preserve"> gli studi che considerano l’</w:t>
      </w:r>
      <w:proofErr w:type="spellStart"/>
      <w:r w:rsidRPr="00DB65EE">
        <w:rPr>
          <w:rFonts w:ascii="Bookman Old Style" w:hAnsi="Bookman Old Style"/>
          <w:sz w:val="24"/>
          <w:szCs w:val="24"/>
        </w:rPr>
        <w:t>elettrosensibilità</w:t>
      </w:r>
      <w:proofErr w:type="spellEnd"/>
      <w:r w:rsidRPr="00DB65EE">
        <w:rPr>
          <w:rFonts w:ascii="Bookman Old Style" w:hAnsi="Bookman Old Style"/>
          <w:sz w:val="24"/>
          <w:szCs w:val="24"/>
        </w:rPr>
        <w:t xml:space="preserve"> una patologia neurologica che comporta un’alterazione della perfusione cerebrale in seguito all’esposizione a campi elettromagnetici a livelli inferiori agli standard di sicurezza internazionali;</w:t>
      </w:r>
      <w:r w:rsidRPr="00DB65EE">
        <w:rPr>
          <w:rStyle w:val="Rimandonotaapidipagina"/>
          <w:rFonts w:ascii="Bookman Old Style" w:hAnsi="Bookman Old Style"/>
          <w:sz w:val="24"/>
          <w:szCs w:val="24"/>
        </w:rPr>
        <w:footnoteReference w:id="4"/>
      </w:r>
      <w:r w:rsidRPr="00DB65EE">
        <w:rPr>
          <w:rFonts w:ascii="Bookman Old Style" w:hAnsi="Bookman Old Style"/>
          <w:sz w:val="24"/>
          <w:szCs w:val="24"/>
          <w:vertAlign w:val="superscript"/>
        </w:rPr>
        <w:t>,</w:t>
      </w:r>
      <w:r w:rsidRPr="00DB65EE">
        <w:rPr>
          <w:rStyle w:val="Rimandonotaapidipagina"/>
          <w:rFonts w:ascii="Bookman Old Style" w:hAnsi="Bookman Old Style"/>
          <w:sz w:val="24"/>
          <w:szCs w:val="24"/>
        </w:rPr>
        <w:footnoteReference w:id="5"/>
      </w:r>
      <w:r w:rsidRPr="00DB65EE">
        <w:rPr>
          <w:rFonts w:ascii="Bookman Old Style" w:hAnsi="Bookman Old Style"/>
          <w:sz w:val="24"/>
          <w:szCs w:val="24"/>
          <w:vertAlign w:val="superscript"/>
        </w:rPr>
        <w:t>,</w:t>
      </w:r>
      <w:r w:rsidRPr="00DB65EE">
        <w:rPr>
          <w:rStyle w:val="Rimandonotaapidipagina"/>
          <w:rFonts w:ascii="Bookman Old Style" w:hAnsi="Bookman Old Style"/>
          <w:sz w:val="24"/>
          <w:szCs w:val="24"/>
        </w:rPr>
        <w:footnoteReference w:id="6"/>
      </w:r>
    </w:p>
    <w:p w:rsidR="001D0253" w:rsidRPr="001D0253" w:rsidRDefault="001D0253" w:rsidP="001D0253">
      <w:pPr>
        <w:pStyle w:val="Paragrafoelenco"/>
        <w:spacing w:after="240" w:line="276" w:lineRule="auto"/>
        <w:ind w:left="284"/>
        <w:jc w:val="both"/>
        <w:rPr>
          <w:sz w:val="8"/>
          <w:szCs w:val="8"/>
        </w:rPr>
      </w:pPr>
    </w:p>
    <w:p w:rsidR="001D0253" w:rsidRPr="001D0253" w:rsidRDefault="00A03B5B" w:rsidP="001D0253">
      <w:pPr>
        <w:pStyle w:val="Paragrafoelenco"/>
        <w:numPr>
          <w:ilvl w:val="0"/>
          <w:numId w:val="1"/>
        </w:numPr>
        <w:spacing w:after="240" w:line="276" w:lineRule="auto"/>
        <w:ind w:left="284" w:hanging="284"/>
        <w:jc w:val="both"/>
      </w:pPr>
      <w:r>
        <w:rPr>
          <w:rFonts w:ascii="Bookman Old Style" w:hAnsi="Bookman Old Style" w:cs="Helvetica"/>
          <w:color w:val="222222"/>
          <w:sz w:val="24"/>
          <w:szCs w:val="24"/>
          <w:shd w:val="clear" w:color="auto" w:fill="FFFFFF"/>
        </w:rPr>
        <w:t>Che i</w:t>
      </w:r>
      <w:r w:rsidR="001D0253" w:rsidRPr="001D0253">
        <w:rPr>
          <w:rFonts w:ascii="Bookman Old Style" w:hAnsi="Bookman Old Style" w:cs="Helvetica"/>
          <w:color w:val="222222"/>
          <w:sz w:val="24"/>
          <w:szCs w:val="24"/>
          <w:shd w:val="clear" w:color="auto" w:fill="FFFFFF"/>
        </w:rPr>
        <w:t xml:space="preserve"> sintomi più frequenti </w:t>
      </w:r>
      <w:r w:rsidR="001D0253">
        <w:rPr>
          <w:rFonts w:ascii="Bookman Old Style" w:hAnsi="Bookman Old Style" w:cs="Helvetica"/>
          <w:color w:val="222222"/>
          <w:sz w:val="24"/>
          <w:szCs w:val="24"/>
          <w:shd w:val="clear" w:color="auto" w:fill="FFFFFF"/>
        </w:rPr>
        <w:t>risultano essere</w:t>
      </w:r>
      <w:r w:rsidR="001D0253" w:rsidRPr="001D0253">
        <w:rPr>
          <w:rFonts w:ascii="Bookman Old Style" w:hAnsi="Bookman Old Style" w:cs="Helvetica"/>
          <w:color w:val="222222"/>
          <w:sz w:val="24"/>
          <w:szCs w:val="24"/>
          <w:shd w:val="clear" w:color="auto" w:fill="FFFFFF"/>
        </w:rPr>
        <w:t>: </w:t>
      </w:r>
      <w:r w:rsidR="001D0253" w:rsidRPr="001D0253">
        <w:rPr>
          <w:rStyle w:val="Enfasigrassetto"/>
          <w:rFonts w:ascii="Bookman Old Style" w:hAnsi="Bookman Old Style" w:cs="Helvetica"/>
          <w:b w:val="0"/>
          <w:color w:val="222222"/>
          <w:sz w:val="24"/>
          <w:szCs w:val="24"/>
          <w:shd w:val="clear" w:color="auto" w:fill="FFFFFF"/>
        </w:rPr>
        <w:t>cefalee</w:t>
      </w:r>
      <w:r w:rsidR="001D0253" w:rsidRPr="001D0253">
        <w:rPr>
          <w:rFonts w:ascii="Bookman Old Style" w:hAnsi="Bookman Old Style" w:cs="Helvetica"/>
          <w:color w:val="222222"/>
          <w:sz w:val="24"/>
          <w:szCs w:val="24"/>
          <w:shd w:val="clear" w:color="auto" w:fill="FFFFFF"/>
        </w:rPr>
        <w:t xml:space="preserve">, insonnia o sonno non ristoratore, debolezza e facile esauribilità fisica, riduzione della memoria e deficit di concentrazione, dolori localizzati o diffusi tipici di una sindrome </w:t>
      </w:r>
      <w:proofErr w:type="spellStart"/>
      <w:r w:rsidR="001D0253" w:rsidRPr="001D0253">
        <w:rPr>
          <w:rFonts w:ascii="Bookman Old Style" w:hAnsi="Bookman Old Style" w:cs="Helvetica"/>
          <w:color w:val="222222"/>
          <w:sz w:val="24"/>
          <w:szCs w:val="24"/>
          <w:shd w:val="clear" w:color="auto" w:fill="FFFFFF"/>
        </w:rPr>
        <w:t>simil-influenzale</w:t>
      </w:r>
      <w:proofErr w:type="spellEnd"/>
      <w:r w:rsidR="001D0253" w:rsidRPr="001D0253">
        <w:rPr>
          <w:rFonts w:ascii="Bookman Old Style" w:hAnsi="Bookman Old Style" w:cs="Helvetica"/>
          <w:color w:val="222222"/>
          <w:sz w:val="24"/>
          <w:szCs w:val="24"/>
          <w:shd w:val="clear" w:color="auto" w:fill="FFFFFF"/>
        </w:rPr>
        <w:t>, </w:t>
      </w:r>
      <w:r w:rsidR="001D0253" w:rsidRPr="001D0253">
        <w:rPr>
          <w:rStyle w:val="Enfasigrassetto"/>
          <w:rFonts w:ascii="Bookman Old Style" w:hAnsi="Bookman Old Style" w:cs="Helvetica"/>
          <w:b w:val="0"/>
          <w:color w:val="222222"/>
          <w:sz w:val="24"/>
          <w:szCs w:val="24"/>
          <w:shd w:val="clear" w:color="auto" w:fill="FFFFFF"/>
        </w:rPr>
        <w:t>eruzioni cutanee</w:t>
      </w:r>
      <w:r w:rsidR="001D0253" w:rsidRPr="001D0253">
        <w:rPr>
          <w:rFonts w:ascii="Bookman Old Style" w:hAnsi="Bookman Old Style" w:cs="Helvetica"/>
          <w:color w:val="222222"/>
          <w:sz w:val="24"/>
          <w:szCs w:val="24"/>
          <w:shd w:val="clear" w:color="auto" w:fill="FFFFFF"/>
        </w:rPr>
        <w:t>, disturbi uditivi, visivi e dell’equilibrio, </w:t>
      </w:r>
      <w:r w:rsidR="001D0253" w:rsidRPr="001D0253">
        <w:rPr>
          <w:rStyle w:val="Enfasigrassetto"/>
          <w:rFonts w:ascii="Bookman Old Style" w:hAnsi="Bookman Old Style" w:cs="Helvetica"/>
          <w:b w:val="0"/>
          <w:color w:val="222222"/>
          <w:sz w:val="24"/>
          <w:szCs w:val="24"/>
          <w:shd w:val="clear" w:color="auto" w:fill="FFFFFF"/>
        </w:rPr>
        <w:t>alterazioni del tono dell’umore</w:t>
      </w:r>
      <w:r w:rsidR="001D0253" w:rsidRPr="001D0253">
        <w:rPr>
          <w:rFonts w:ascii="Bookman Old Style" w:hAnsi="Bookman Old Style" w:cs="Helvetica"/>
          <w:color w:val="222222"/>
          <w:sz w:val="24"/>
          <w:szCs w:val="24"/>
          <w:shd w:val="clear" w:color="auto" w:fill="FFFFFF"/>
        </w:rPr>
        <w:t> e del carattere, aggressività o apatia, sbalzi pressori che possono causare sanguinamenti nasali, palpitazioni cardiache che simulano uno stato d’ansia o inquietudine</w:t>
      </w:r>
      <w:r w:rsidR="001D0253">
        <w:rPr>
          <w:rFonts w:ascii="Bookman Old Style" w:hAnsi="Bookman Old Style" w:cs="Helvetica"/>
          <w:color w:val="222222"/>
          <w:sz w:val="24"/>
          <w:szCs w:val="24"/>
          <w:shd w:val="clear" w:color="auto" w:fill="FFFFFF"/>
        </w:rPr>
        <w:t xml:space="preserve">; </w:t>
      </w:r>
    </w:p>
    <w:p w:rsidR="001D0253" w:rsidRPr="001D0253" w:rsidRDefault="001D0253" w:rsidP="001D0253">
      <w:pPr>
        <w:pStyle w:val="Paragrafoelenco"/>
        <w:rPr>
          <w:rFonts w:ascii="Bookman Old Style" w:hAnsi="Bookman Old Style" w:cs="Times New Roman"/>
          <w:sz w:val="8"/>
          <w:szCs w:val="8"/>
        </w:rPr>
      </w:pPr>
    </w:p>
    <w:p w:rsidR="00DB65EE" w:rsidRPr="00DB65EE" w:rsidRDefault="00A03B5B" w:rsidP="00F01DDA">
      <w:pPr>
        <w:pStyle w:val="Paragrafoelenco"/>
        <w:numPr>
          <w:ilvl w:val="0"/>
          <w:numId w:val="1"/>
        </w:numPr>
        <w:spacing w:after="240" w:line="276" w:lineRule="auto"/>
        <w:ind w:left="284" w:hanging="284"/>
        <w:jc w:val="both"/>
      </w:pPr>
      <w:r>
        <w:rPr>
          <w:rFonts w:ascii="Bookman Old Style" w:hAnsi="Bookman Old Style" w:cs="Times New Roman"/>
          <w:sz w:val="24"/>
          <w:szCs w:val="24"/>
        </w:rPr>
        <w:t>C</w:t>
      </w:r>
      <w:r w:rsidR="00131E50" w:rsidRPr="00DB65EE">
        <w:rPr>
          <w:rFonts w:ascii="Bookman Old Style" w:hAnsi="Bookman Old Style" w:cs="Times New Roman"/>
          <w:sz w:val="24"/>
          <w:szCs w:val="24"/>
        </w:rPr>
        <w:t xml:space="preserve">he la </w:t>
      </w:r>
      <w:proofErr w:type="spellStart"/>
      <w:r w:rsidR="00131E50" w:rsidRPr="00DB65EE">
        <w:rPr>
          <w:rFonts w:ascii="Bookman Old Style" w:hAnsi="Bookman Old Style" w:cs="Times New Roman"/>
          <w:sz w:val="24"/>
          <w:szCs w:val="24"/>
        </w:rPr>
        <w:t>elettrosensibilità</w:t>
      </w:r>
      <w:proofErr w:type="spellEnd"/>
      <w:r w:rsidR="00131E50" w:rsidRPr="00DB65EE">
        <w:rPr>
          <w:rFonts w:ascii="Bookman Old Style" w:hAnsi="Bookman Old Style" w:cs="Times New Roman"/>
          <w:sz w:val="24"/>
          <w:szCs w:val="24"/>
        </w:rPr>
        <w:t xml:space="preserve"> (EHS) è una patologia riconosciuta in </w:t>
      </w:r>
      <w:r w:rsidR="00004DCE" w:rsidRPr="00DB65EE">
        <w:rPr>
          <w:rFonts w:ascii="Bookman Old Style" w:hAnsi="Bookman Old Style" w:cs="Times New Roman"/>
          <w:sz w:val="24"/>
          <w:szCs w:val="24"/>
        </w:rPr>
        <w:t>alcun</w:t>
      </w:r>
      <w:r w:rsidR="00131E50" w:rsidRPr="00DB65EE">
        <w:rPr>
          <w:rFonts w:ascii="Bookman Old Style" w:hAnsi="Bookman Old Style" w:cs="Times New Roman"/>
          <w:sz w:val="24"/>
          <w:szCs w:val="24"/>
        </w:rPr>
        <w:t>i paesi europei (</w:t>
      </w:r>
      <w:r w:rsidR="001352BD" w:rsidRPr="00DB65EE">
        <w:rPr>
          <w:rFonts w:ascii="Bookman Old Style" w:hAnsi="Bookman Old Style" w:cs="Times New Roman"/>
          <w:sz w:val="24"/>
          <w:szCs w:val="24"/>
        </w:rPr>
        <w:t xml:space="preserve">in Svezia è riconosciuta come disabilità funzionale, alcuni tribunali l’hanno riconosciuta come malattia professionale in </w:t>
      </w:r>
      <w:r w:rsidR="00131E50" w:rsidRPr="00DB65EE">
        <w:rPr>
          <w:rFonts w:ascii="Bookman Old Style" w:hAnsi="Bookman Old Style" w:cs="Times New Roman"/>
          <w:sz w:val="24"/>
          <w:szCs w:val="24"/>
        </w:rPr>
        <w:t>Francia,</w:t>
      </w:r>
      <w:r w:rsidR="001352BD" w:rsidRPr="00DB65EE">
        <w:rPr>
          <w:rStyle w:val="Rimandonotaapidipagina"/>
          <w:rFonts w:ascii="Bookman Old Style" w:hAnsi="Bookman Old Style" w:cs="Times New Roman"/>
          <w:sz w:val="24"/>
          <w:szCs w:val="24"/>
        </w:rPr>
        <w:footnoteReference w:id="7"/>
      </w:r>
      <w:r w:rsidR="00131E50" w:rsidRPr="00DB65EE">
        <w:rPr>
          <w:rFonts w:ascii="Bookman Old Style" w:hAnsi="Bookman Old Style" w:cs="Times New Roman"/>
          <w:sz w:val="24"/>
          <w:szCs w:val="24"/>
        </w:rPr>
        <w:t xml:space="preserve"> </w:t>
      </w:r>
      <w:r w:rsidR="001352BD" w:rsidRPr="00DB65EE">
        <w:rPr>
          <w:rFonts w:ascii="Bookman Old Style" w:hAnsi="Bookman Old Style" w:cs="Times New Roman"/>
          <w:sz w:val="24"/>
          <w:szCs w:val="24"/>
        </w:rPr>
        <w:t>Germania</w:t>
      </w:r>
      <w:r w:rsidR="001352BD" w:rsidRPr="00DB65EE">
        <w:rPr>
          <w:rStyle w:val="Rimandonotaapidipagina"/>
          <w:rFonts w:ascii="Bookman Old Style" w:hAnsi="Bookman Old Style" w:cs="Times New Roman"/>
          <w:sz w:val="24"/>
          <w:szCs w:val="24"/>
        </w:rPr>
        <w:footnoteReference w:id="8"/>
      </w:r>
      <w:r w:rsidR="001352BD" w:rsidRPr="00DB65EE">
        <w:rPr>
          <w:rFonts w:ascii="Bookman Old Style" w:hAnsi="Bookman Old Style" w:cs="Times New Roman"/>
          <w:sz w:val="24"/>
          <w:szCs w:val="24"/>
        </w:rPr>
        <w:t xml:space="preserve"> e </w:t>
      </w:r>
      <w:r w:rsidR="00131E50" w:rsidRPr="00DB65EE">
        <w:rPr>
          <w:rFonts w:ascii="Bookman Old Style" w:hAnsi="Bookman Old Style" w:cs="Times New Roman"/>
          <w:sz w:val="24"/>
          <w:szCs w:val="24"/>
        </w:rPr>
        <w:t>Spagna</w:t>
      </w:r>
      <w:r w:rsidR="001352BD" w:rsidRPr="00DB65EE">
        <w:rPr>
          <w:rStyle w:val="Rimandonotaapidipagina"/>
          <w:rFonts w:ascii="Bookman Old Style" w:hAnsi="Bookman Old Style" w:cs="Times New Roman"/>
          <w:sz w:val="24"/>
          <w:szCs w:val="24"/>
        </w:rPr>
        <w:footnoteReference w:id="9"/>
      </w:r>
      <w:r w:rsidR="00131E50" w:rsidRPr="00DB65EE">
        <w:rPr>
          <w:rFonts w:ascii="Bookman Old Style" w:hAnsi="Bookman Old Style" w:cs="Times New Roman"/>
          <w:sz w:val="24"/>
          <w:szCs w:val="24"/>
        </w:rPr>
        <w:t xml:space="preserve">), anche se </w:t>
      </w:r>
      <w:r w:rsidR="00C91558" w:rsidRPr="00DB65EE">
        <w:rPr>
          <w:rFonts w:ascii="Bookman Old Style" w:hAnsi="Bookman Old Style" w:cs="Times New Roman"/>
          <w:sz w:val="24"/>
          <w:szCs w:val="24"/>
        </w:rPr>
        <w:t>l’Italia</w:t>
      </w:r>
      <w:r w:rsidR="00131E50" w:rsidRPr="00DB65EE">
        <w:rPr>
          <w:rFonts w:ascii="Bookman Old Style" w:hAnsi="Bookman Old Style" w:cs="Times New Roman"/>
          <w:sz w:val="24"/>
          <w:szCs w:val="24"/>
        </w:rPr>
        <w:t>, attraverso l’Istituto Superiore della Sanità, non ha</w:t>
      </w:r>
      <w:r w:rsidR="00131E50">
        <w:rPr>
          <w:rFonts w:ascii="Bookman Old Style" w:hAnsi="Bookman Old Style" w:cs="Times New Roman"/>
          <w:sz w:val="24"/>
          <w:szCs w:val="24"/>
        </w:rPr>
        <w:t xml:space="preserve"> ritenuto finora di aderire alle raccomandazioni espresse in senso cautelativo dal Parlamento Europeo</w:t>
      </w:r>
      <w:r w:rsidR="008E6D21">
        <w:rPr>
          <w:rFonts w:ascii="Bookman Old Style" w:hAnsi="Bookman Old Style" w:cs="Times New Roman"/>
          <w:sz w:val="24"/>
          <w:szCs w:val="24"/>
        </w:rPr>
        <w:t xml:space="preserve"> e dal Consiglio d’Europa</w:t>
      </w:r>
      <w:r w:rsidR="00131E50">
        <w:rPr>
          <w:rFonts w:ascii="Bookman Old Style" w:hAnsi="Bookman Old Style" w:cs="Times New Roman"/>
          <w:sz w:val="24"/>
          <w:szCs w:val="24"/>
        </w:rPr>
        <w:t>;</w:t>
      </w:r>
    </w:p>
    <w:p w:rsidR="00DB65EE" w:rsidRPr="00DB65EE" w:rsidRDefault="00DB65EE" w:rsidP="00DB65EE">
      <w:pPr>
        <w:pStyle w:val="Paragrafoelenco"/>
        <w:spacing w:after="240" w:line="276" w:lineRule="auto"/>
        <w:ind w:left="284"/>
        <w:jc w:val="both"/>
        <w:rPr>
          <w:sz w:val="8"/>
          <w:szCs w:val="8"/>
        </w:rPr>
      </w:pPr>
    </w:p>
    <w:p w:rsidR="00131E50" w:rsidRPr="00B40222" w:rsidRDefault="00131E50" w:rsidP="00F01DDA">
      <w:pPr>
        <w:pStyle w:val="Paragrafoelenco"/>
        <w:numPr>
          <w:ilvl w:val="0"/>
          <w:numId w:val="1"/>
        </w:numPr>
        <w:spacing w:after="240" w:line="276" w:lineRule="auto"/>
        <w:ind w:left="284" w:hanging="284"/>
        <w:jc w:val="both"/>
      </w:pPr>
      <w:r>
        <w:rPr>
          <w:rFonts w:ascii="Bookman Old Style" w:hAnsi="Bookman Old Style" w:cs="Times New Roman"/>
          <w:sz w:val="24"/>
          <w:szCs w:val="24"/>
        </w:rPr>
        <w:t xml:space="preserve">Vista la </w:t>
      </w:r>
      <w:r w:rsidRPr="00D733CA">
        <w:rPr>
          <w:rFonts w:ascii="Bookman Old Style" w:hAnsi="Bookman Old Style" w:cs="Times New Roman"/>
          <w:sz w:val="24"/>
          <w:szCs w:val="24"/>
          <w:u w:val="single"/>
        </w:rPr>
        <w:t>Risoluzione del 2 aprile 2009 del Parlamento Europeo</w:t>
      </w:r>
      <w:r>
        <w:rPr>
          <w:rFonts w:ascii="Bookman Old Style" w:hAnsi="Bookman Old Style" w:cs="Times New Roman"/>
          <w:sz w:val="24"/>
          <w:szCs w:val="24"/>
        </w:rPr>
        <w:t>, con cui si esprimono “</w:t>
      </w:r>
      <w:r>
        <w:rPr>
          <w:rFonts w:ascii="Bookman Old Style" w:hAnsi="Bookman Old Style" w:cs="Times New Roman"/>
          <w:i/>
          <w:sz w:val="24"/>
          <w:szCs w:val="24"/>
        </w:rPr>
        <w:t>preoccupazioni per la salute connessa ai campi elettromagnetici</w:t>
      </w:r>
      <w:r>
        <w:rPr>
          <w:rFonts w:ascii="Bookman Old Style" w:hAnsi="Bookman Old Style" w:cs="Times New Roman"/>
          <w:sz w:val="24"/>
          <w:szCs w:val="24"/>
        </w:rPr>
        <w:t>”;</w:t>
      </w:r>
    </w:p>
    <w:p w:rsidR="00B40222" w:rsidRPr="00B40222" w:rsidRDefault="00B40222" w:rsidP="00B40222">
      <w:pPr>
        <w:pStyle w:val="Paragrafoelenco"/>
        <w:spacing w:after="240" w:line="276" w:lineRule="auto"/>
        <w:ind w:left="284"/>
        <w:jc w:val="both"/>
        <w:rPr>
          <w:sz w:val="8"/>
          <w:szCs w:val="8"/>
        </w:rPr>
      </w:pPr>
    </w:p>
    <w:p w:rsidR="00131E50" w:rsidRPr="00B40222" w:rsidRDefault="00131E50" w:rsidP="00F01DDA">
      <w:pPr>
        <w:pStyle w:val="Paragrafoelenco"/>
        <w:numPr>
          <w:ilvl w:val="0"/>
          <w:numId w:val="1"/>
        </w:numPr>
        <w:spacing w:after="240" w:line="276" w:lineRule="auto"/>
        <w:ind w:left="284" w:hanging="284"/>
        <w:jc w:val="both"/>
      </w:pPr>
      <w:r>
        <w:rPr>
          <w:rFonts w:ascii="Bookman Old Style" w:hAnsi="Bookman Old Style" w:cs="Times New Roman"/>
          <w:sz w:val="24"/>
          <w:szCs w:val="24"/>
        </w:rPr>
        <w:t xml:space="preserve">Vista la </w:t>
      </w:r>
      <w:r w:rsidRPr="00D733CA">
        <w:rPr>
          <w:rFonts w:ascii="Bookman Old Style" w:hAnsi="Bookman Old Style" w:cs="Times New Roman"/>
          <w:sz w:val="24"/>
          <w:szCs w:val="24"/>
          <w:u w:val="single"/>
        </w:rPr>
        <w:t>Risoluzione del Consiglio d’Europa n. 1815 del 2011</w:t>
      </w:r>
      <w:r>
        <w:rPr>
          <w:rFonts w:ascii="Bookman Old Style" w:hAnsi="Bookman Old Style" w:cs="Times New Roman"/>
          <w:sz w:val="24"/>
          <w:szCs w:val="24"/>
        </w:rPr>
        <w:t>, attraverso cui si esortano gli stati membri a “</w:t>
      </w:r>
      <w:r>
        <w:rPr>
          <w:rFonts w:ascii="Bookman Old Style" w:hAnsi="Bookman Old Style" w:cs="Times New Roman"/>
          <w:i/>
          <w:sz w:val="24"/>
          <w:szCs w:val="24"/>
        </w:rPr>
        <w:t xml:space="preserve">ridurre i livelli di esposizione della popolazione, a condurre campagne informative, a disciplinare l’installazione di stazioni radio base, a prestare attenzione alla situazione dei bambini, più gravemente esposti ai rischi per conformazione biologia ed </w:t>
      </w:r>
      <w:r w:rsidRPr="001D0253">
        <w:rPr>
          <w:rFonts w:ascii="Bookman Old Style" w:hAnsi="Bookman Old Style" w:cs="Times New Roman"/>
          <w:b/>
          <w:i/>
          <w:sz w:val="24"/>
          <w:szCs w:val="24"/>
        </w:rPr>
        <w:t>a prender</w:t>
      </w:r>
      <w:r w:rsidR="00490CB3">
        <w:rPr>
          <w:rFonts w:ascii="Bookman Old Style" w:hAnsi="Bookman Old Style" w:cs="Times New Roman"/>
          <w:b/>
          <w:i/>
          <w:sz w:val="24"/>
          <w:szCs w:val="24"/>
        </w:rPr>
        <w:t>e</w:t>
      </w:r>
      <w:r w:rsidRPr="001D0253">
        <w:rPr>
          <w:rFonts w:ascii="Bookman Old Style" w:hAnsi="Bookman Old Style" w:cs="Times New Roman"/>
          <w:b/>
          <w:i/>
          <w:sz w:val="24"/>
          <w:szCs w:val="24"/>
        </w:rPr>
        <w:t xml:space="preserve"> in considerazione le istanze di persone elettrosensibili</w:t>
      </w:r>
      <w:r w:rsidR="004B0860" w:rsidRPr="001D0253">
        <w:rPr>
          <w:rFonts w:ascii="Bookman Old Style" w:hAnsi="Bookman Old Style" w:cs="Times New Roman"/>
          <w:b/>
          <w:sz w:val="24"/>
          <w:szCs w:val="24"/>
        </w:rPr>
        <w:t>”;</w:t>
      </w:r>
    </w:p>
    <w:p w:rsidR="00B40222" w:rsidRPr="00B40222" w:rsidRDefault="00B40222" w:rsidP="00B40222">
      <w:pPr>
        <w:pStyle w:val="Paragrafoelenco"/>
        <w:spacing w:after="240" w:line="276" w:lineRule="auto"/>
        <w:ind w:left="284"/>
        <w:jc w:val="both"/>
        <w:rPr>
          <w:sz w:val="8"/>
          <w:szCs w:val="8"/>
        </w:rPr>
      </w:pPr>
    </w:p>
    <w:p w:rsidR="001352BD" w:rsidRPr="00DB65EE" w:rsidRDefault="004B0860" w:rsidP="001352BD">
      <w:pPr>
        <w:pStyle w:val="Paragrafoelenco"/>
        <w:numPr>
          <w:ilvl w:val="0"/>
          <w:numId w:val="1"/>
        </w:numPr>
        <w:spacing w:after="240" w:line="276" w:lineRule="auto"/>
        <w:ind w:left="284" w:hanging="284"/>
        <w:jc w:val="both"/>
      </w:pPr>
      <w:r>
        <w:rPr>
          <w:rFonts w:ascii="Bookman Old Style" w:hAnsi="Bookman Old Style"/>
          <w:sz w:val="24"/>
          <w:szCs w:val="24"/>
        </w:rPr>
        <w:t>Vis</w:t>
      </w:r>
      <w:r w:rsidR="00AA52AE">
        <w:rPr>
          <w:rFonts w:ascii="Bookman Old Style" w:hAnsi="Bookman Old Style"/>
          <w:sz w:val="24"/>
          <w:szCs w:val="24"/>
        </w:rPr>
        <w:t>to il documento</w:t>
      </w:r>
      <w:r>
        <w:rPr>
          <w:rFonts w:ascii="Bookman Old Style" w:hAnsi="Bookman Old Style"/>
          <w:sz w:val="24"/>
          <w:szCs w:val="24"/>
        </w:rPr>
        <w:t xml:space="preserve"> </w:t>
      </w:r>
      <w:r w:rsidRPr="00D733CA">
        <w:rPr>
          <w:rFonts w:ascii="Bookman Old Style" w:hAnsi="Bookman Old Style"/>
          <w:sz w:val="24"/>
          <w:szCs w:val="24"/>
        </w:rPr>
        <w:t>dell’</w:t>
      </w:r>
      <w:r w:rsidRPr="00D733CA">
        <w:rPr>
          <w:rFonts w:ascii="Bookman Old Style" w:hAnsi="Bookman Old Style"/>
          <w:sz w:val="24"/>
          <w:szCs w:val="24"/>
          <w:u w:val="single"/>
        </w:rPr>
        <w:t>Agenzia internazionale per la ricerca sul cancro</w:t>
      </w:r>
      <w:r>
        <w:rPr>
          <w:rFonts w:ascii="Bookman Old Style" w:hAnsi="Bookman Old Style"/>
          <w:sz w:val="24"/>
          <w:szCs w:val="24"/>
        </w:rPr>
        <w:t xml:space="preserve"> (IARC) del maggio 2011, con cui “</w:t>
      </w:r>
      <w:r>
        <w:rPr>
          <w:rFonts w:ascii="Bookman Old Style" w:hAnsi="Bookman Old Style"/>
          <w:i/>
          <w:sz w:val="24"/>
          <w:szCs w:val="24"/>
        </w:rPr>
        <w:t>i campi elettromagnetici a radiofrequenza</w:t>
      </w:r>
      <w:r w:rsidR="00F01DDA">
        <w:rPr>
          <w:rFonts w:ascii="Bookman Old Style" w:hAnsi="Bookman Old Style"/>
          <w:sz w:val="24"/>
          <w:szCs w:val="24"/>
        </w:rPr>
        <w:t xml:space="preserve">” sono stati </w:t>
      </w:r>
      <w:r w:rsidR="00F01DDA" w:rsidRPr="00F01DDA">
        <w:rPr>
          <w:rFonts w:ascii="Bookman Old Style" w:hAnsi="Bookman Old Style"/>
          <w:sz w:val="24"/>
          <w:szCs w:val="24"/>
        </w:rPr>
        <w:t>inseriti</w:t>
      </w:r>
      <w:r w:rsidRPr="00F01DDA">
        <w:rPr>
          <w:rFonts w:ascii="Bookman Old Style" w:hAnsi="Bookman Old Style"/>
          <w:sz w:val="24"/>
          <w:szCs w:val="24"/>
        </w:rPr>
        <w:t xml:space="preserve"> nella classe 2b, </w:t>
      </w:r>
      <w:r w:rsidR="001D0253">
        <w:rPr>
          <w:rFonts w:ascii="Bookman Old Style" w:hAnsi="Bookman Old Style"/>
          <w:sz w:val="24"/>
          <w:szCs w:val="24"/>
        </w:rPr>
        <w:t xml:space="preserve">e classificati </w:t>
      </w:r>
      <w:r w:rsidRPr="00F01DDA">
        <w:rPr>
          <w:rFonts w:ascii="Bookman Old Style" w:hAnsi="Bookman Old Style"/>
          <w:sz w:val="24"/>
          <w:szCs w:val="24"/>
        </w:rPr>
        <w:t>come</w:t>
      </w:r>
      <w:r>
        <w:rPr>
          <w:rFonts w:ascii="Bookman Old Style" w:hAnsi="Bookman Old Style"/>
          <w:i/>
          <w:sz w:val="24"/>
          <w:szCs w:val="24"/>
        </w:rPr>
        <w:t xml:space="preserve"> </w:t>
      </w:r>
      <w:r w:rsidR="00F01DDA">
        <w:rPr>
          <w:rFonts w:ascii="Bookman Old Style" w:hAnsi="Bookman Old Style"/>
          <w:sz w:val="24"/>
          <w:szCs w:val="24"/>
        </w:rPr>
        <w:t>“</w:t>
      </w:r>
      <w:r>
        <w:rPr>
          <w:rFonts w:ascii="Bookman Old Style" w:hAnsi="Bookman Old Style"/>
          <w:i/>
          <w:sz w:val="24"/>
          <w:szCs w:val="24"/>
        </w:rPr>
        <w:t>possibili cancerogeni per l’uomo</w:t>
      </w:r>
      <w:r>
        <w:rPr>
          <w:rFonts w:ascii="Bookman Old Style" w:hAnsi="Bookman Old Style"/>
          <w:sz w:val="24"/>
          <w:szCs w:val="24"/>
        </w:rPr>
        <w:t>”</w:t>
      </w:r>
      <w:r w:rsidR="00F01DDA">
        <w:rPr>
          <w:rFonts w:ascii="Bookman Old Style" w:hAnsi="Bookman Old Style"/>
          <w:sz w:val="24"/>
          <w:szCs w:val="24"/>
        </w:rPr>
        <w:t>;</w:t>
      </w:r>
    </w:p>
    <w:p w:rsidR="00DB65EE" w:rsidRPr="00DB65EE" w:rsidRDefault="00DB65EE" w:rsidP="00DB65EE">
      <w:pPr>
        <w:pStyle w:val="Paragrafoelenco"/>
        <w:spacing w:after="240" w:line="276" w:lineRule="auto"/>
        <w:ind w:left="284"/>
        <w:jc w:val="both"/>
        <w:rPr>
          <w:sz w:val="8"/>
          <w:szCs w:val="8"/>
        </w:rPr>
      </w:pPr>
    </w:p>
    <w:p w:rsidR="001352BD" w:rsidRPr="00DB65EE" w:rsidRDefault="001352BD" w:rsidP="00D95257">
      <w:pPr>
        <w:pStyle w:val="Paragrafoelenco"/>
        <w:numPr>
          <w:ilvl w:val="0"/>
          <w:numId w:val="1"/>
        </w:numPr>
        <w:spacing w:after="240" w:line="276" w:lineRule="auto"/>
        <w:ind w:left="284" w:hanging="284"/>
        <w:jc w:val="both"/>
        <w:rPr>
          <w:rFonts w:ascii="Bookman Old Style" w:hAnsi="Bookman Old Style"/>
          <w:sz w:val="24"/>
          <w:szCs w:val="24"/>
        </w:rPr>
      </w:pPr>
      <w:r w:rsidRPr="00DB65EE">
        <w:rPr>
          <w:rFonts w:ascii="Bookman Old Style" w:hAnsi="Bookman Old Style"/>
          <w:sz w:val="24"/>
          <w:szCs w:val="24"/>
        </w:rPr>
        <w:lastRenderedPageBreak/>
        <w:t xml:space="preserve">Vista la conclusione dello studio epidemiologico, pubblicato su </w:t>
      </w:r>
      <w:proofErr w:type="spellStart"/>
      <w:r w:rsidRPr="00A03B5B">
        <w:rPr>
          <w:rFonts w:ascii="Bookman Old Style" w:hAnsi="Bookman Old Style"/>
          <w:i/>
          <w:iCs/>
          <w:sz w:val="24"/>
          <w:szCs w:val="24"/>
        </w:rPr>
        <w:t>Pathophysiology</w:t>
      </w:r>
      <w:proofErr w:type="spellEnd"/>
      <w:r w:rsidRPr="00DB65EE">
        <w:rPr>
          <w:rFonts w:ascii="Bookman Old Style" w:hAnsi="Bookman Old Style"/>
          <w:sz w:val="24"/>
          <w:szCs w:val="24"/>
        </w:rPr>
        <w:t xml:space="preserve"> da </w:t>
      </w:r>
      <w:proofErr w:type="spellStart"/>
      <w:r w:rsidRPr="00DB65EE">
        <w:rPr>
          <w:rFonts w:ascii="Bookman Old Style" w:hAnsi="Bookman Old Style"/>
          <w:sz w:val="24"/>
          <w:szCs w:val="24"/>
        </w:rPr>
        <w:t>Lennart</w:t>
      </w:r>
      <w:proofErr w:type="spellEnd"/>
      <w:r w:rsidRPr="00DB65EE">
        <w:rPr>
          <w:rFonts w:ascii="Bookman Old Style" w:hAnsi="Bookman Old Style"/>
          <w:sz w:val="24"/>
          <w:szCs w:val="24"/>
        </w:rPr>
        <w:t xml:space="preserve"> </w:t>
      </w:r>
      <w:proofErr w:type="spellStart"/>
      <w:r w:rsidRPr="00DB65EE">
        <w:rPr>
          <w:rFonts w:ascii="Bookman Old Style" w:hAnsi="Bookman Old Style"/>
          <w:sz w:val="24"/>
          <w:szCs w:val="24"/>
        </w:rPr>
        <w:t>Hardell</w:t>
      </w:r>
      <w:proofErr w:type="spellEnd"/>
      <w:r w:rsidRPr="00DB65EE">
        <w:rPr>
          <w:rFonts w:ascii="Bookman Old Style" w:hAnsi="Bookman Old Style"/>
          <w:sz w:val="24"/>
          <w:szCs w:val="24"/>
        </w:rPr>
        <w:t xml:space="preserve"> nel 2014,</w:t>
      </w:r>
      <w:r w:rsidRPr="00DB65EE">
        <w:rPr>
          <w:rStyle w:val="Rimandonotaapidipagina"/>
          <w:rFonts w:ascii="Bookman Old Style" w:hAnsi="Bookman Old Style"/>
          <w:sz w:val="24"/>
          <w:szCs w:val="24"/>
        </w:rPr>
        <w:footnoteReference w:id="10"/>
      </w:r>
      <w:r w:rsidRPr="00DB65EE">
        <w:rPr>
          <w:rFonts w:ascii="Bookman Old Style" w:hAnsi="Bookman Old Style"/>
          <w:sz w:val="24"/>
          <w:szCs w:val="24"/>
        </w:rPr>
        <w:t xml:space="preserve"> che la radiofrequenza rientra nei criteri di classificazione della IARC come “cancerogeno certo” e visto l’aumento di evidenze di cancerogenicità della radiofrequenza negli animali</w:t>
      </w:r>
      <w:r w:rsidRPr="00DB65EE">
        <w:rPr>
          <w:rStyle w:val="Rimandonotaapidipagina"/>
          <w:rFonts w:ascii="Bookman Old Style" w:hAnsi="Bookman Old Style"/>
          <w:sz w:val="24"/>
          <w:szCs w:val="24"/>
        </w:rPr>
        <w:footnoteReference w:id="11"/>
      </w:r>
      <w:r w:rsidRPr="00DB65EE">
        <w:rPr>
          <w:rFonts w:ascii="Bookman Old Style" w:hAnsi="Bookman Old Style"/>
          <w:sz w:val="24"/>
          <w:szCs w:val="24"/>
          <w:vertAlign w:val="superscript"/>
        </w:rPr>
        <w:t>,</w:t>
      </w:r>
      <w:r w:rsidRPr="00DB65EE">
        <w:rPr>
          <w:rStyle w:val="Rimandonotaapidipagina"/>
          <w:rFonts w:ascii="Bookman Old Style" w:hAnsi="Bookman Old Style"/>
          <w:sz w:val="24"/>
          <w:szCs w:val="24"/>
        </w:rPr>
        <w:footnoteReference w:id="12"/>
      </w:r>
      <w:r w:rsidRPr="00DB65EE">
        <w:rPr>
          <w:rFonts w:ascii="Bookman Old Style" w:hAnsi="Bookman Old Style"/>
          <w:sz w:val="24"/>
          <w:szCs w:val="24"/>
        </w:rPr>
        <w:t>;</w:t>
      </w:r>
    </w:p>
    <w:p w:rsidR="00D95257" w:rsidRPr="00D95257" w:rsidRDefault="00D95257" w:rsidP="00D95257">
      <w:pPr>
        <w:pStyle w:val="Paragrafoelenco"/>
        <w:spacing w:after="240" w:line="276" w:lineRule="auto"/>
        <w:ind w:left="284"/>
        <w:jc w:val="both"/>
        <w:rPr>
          <w:sz w:val="8"/>
          <w:szCs w:val="8"/>
        </w:rPr>
      </w:pPr>
    </w:p>
    <w:p w:rsidR="00D95257" w:rsidRPr="00D95257" w:rsidRDefault="00D95257" w:rsidP="00D95257">
      <w:pPr>
        <w:pStyle w:val="Paragrafoelenco"/>
        <w:numPr>
          <w:ilvl w:val="0"/>
          <w:numId w:val="1"/>
        </w:numPr>
        <w:spacing w:after="240" w:line="276" w:lineRule="auto"/>
        <w:ind w:left="284" w:hanging="284"/>
        <w:jc w:val="both"/>
      </w:pPr>
      <w:r w:rsidRPr="00D733CA">
        <w:rPr>
          <w:rFonts w:ascii="Bookman Old Style" w:hAnsi="Bookman Old Style"/>
          <w:sz w:val="24"/>
          <w:szCs w:val="24"/>
          <w:u w:val="single"/>
        </w:rPr>
        <w:t>Visto l’art. 2 della Costituzione Italiana</w:t>
      </w:r>
      <w:r w:rsidRPr="00D95257">
        <w:rPr>
          <w:rFonts w:ascii="Bookman Old Style" w:hAnsi="Bookman Old Style"/>
          <w:sz w:val="24"/>
          <w:szCs w:val="24"/>
        </w:rPr>
        <w:t xml:space="preserve"> (“</w:t>
      </w:r>
      <w:r w:rsidRPr="00D95257">
        <w:rPr>
          <w:rFonts w:ascii="Bookman Old Style" w:hAnsi="Bookman Old Style"/>
          <w:i/>
          <w:sz w:val="24"/>
          <w:szCs w:val="24"/>
        </w:rPr>
        <w:t>La Repubblica riconosce e garantisce i diritti inviolabili dell’uomo</w:t>
      </w:r>
      <w:r w:rsidRPr="00D95257">
        <w:rPr>
          <w:rFonts w:ascii="Bookman Old Style" w:hAnsi="Bookman Old Style"/>
          <w:sz w:val="24"/>
          <w:szCs w:val="24"/>
        </w:rPr>
        <w:t>”)</w:t>
      </w:r>
      <w:r>
        <w:rPr>
          <w:rFonts w:ascii="Bookman Old Style" w:hAnsi="Bookman Old Style"/>
          <w:sz w:val="24"/>
          <w:szCs w:val="24"/>
        </w:rPr>
        <w:t>,</w:t>
      </w:r>
      <w:r w:rsidRPr="00D95257">
        <w:rPr>
          <w:rFonts w:ascii="Bookman Old Style" w:hAnsi="Bookman Old Style"/>
          <w:sz w:val="24"/>
          <w:szCs w:val="24"/>
        </w:rPr>
        <w:t xml:space="preserve"> </w:t>
      </w:r>
      <w:r>
        <w:rPr>
          <w:rFonts w:ascii="Bookman Old Style" w:hAnsi="Bookman Old Style"/>
          <w:sz w:val="24"/>
          <w:szCs w:val="24"/>
        </w:rPr>
        <w:t xml:space="preserve">in collegamento </w:t>
      </w:r>
      <w:r w:rsidRPr="00D95257">
        <w:rPr>
          <w:rFonts w:ascii="Bookman Old Style" w:hAnsi="Bookman Old Style"/>
          <w:sz w:val="24"/>
          <w:szCs w:val="24"/>
        </w:rPr>
        <w:t>con l’art. 32 (“</w:t>
      </w:r>
      <w:r w:rsidRPr="00D95257">
        <w:rPr>
          <w:rFonts w:ascii="Bookman Old Style" w:hAnsi="Bookman Old Style"/>
          <w:i/>
          <w:sz w:val="24"/>
          <w:szCs w:val="24"/>
        </w:rPr>
        <w:t>La Repubblica tutela la salute come fondamentale diritto dell’individuo e interesse della collettività</w:t>
      </w:r>
      <w:r w:rsidRPr="00D95257">
        <w:rPr>
          <w:rFonts w:ascii="Bookman Old Style" w:hAnsi="Bookman Old Style"/>
          <w:sz w:val="24"/>
          <w:szCs w:val="24"/>
        </w:rPr>
        <w:t>”)</w:t>
      </w:r>
      <w:r>
        <w:rPr>
          <w:rFonts w:ascii="Bookman Old Style" w:hAnsi="Bookman Old Style"/>
          <w:sz w:val="24"/>
          <w:szCs w:val="24"/>
        </w:rPr>
        <w:t>,</w:t>
      </w:r>
      <w:r w:rsidRPr="00D95257">
        <w:rPr>
          <w:rFonts w:ascii="Bookman Old Style" w:hAnsi="Bookman Old Style"/>
          <w:sz w:val="24"/>
          <w:szCs w:val="24"/>
        </w:rPr>
        <w:t xml:space="preserve"> </w:t>
      </w:r>
      <w:r>
        <w:rPr>
          <w:rFonts w:ascii="Bookman Old Style" w:hAnsi="Bookman Old Style"/>
          <w:sz w:val="24"/>
          <w:szCs w:val="24"/>
        </w:rPr>
        <w:t>che “</w:t>
      </w:r>
      <w:r w:rsidRPr="00D95257">
        <w:rPr>
          <w:rFonts w:ascii="Bookman Old Style" w:hAnsi="Bookman Old Style"/>
          <w:i/>
          <w:sz w:val="24"/>
          <w:szCs w:val="24"/>
        </w:rPr>
        <w:t>attribuisce al diritto alla salute un contenuto di socialità e di sicurezza tale che esso si presenta non solo come mero diritto alla vita e all’incolumità fisica, ma come vero e proprio diritto all’ambiente salubre</w:t>
      </w:r>
      <w:r w:rsidR="005F7BE7">
        <w:rPr>
          <w:rFonts w:ascii="Bookman Old Style" w:hAnsi="Bookman Old Style"/>
          <w:i/>
          <w:sz w:val="24"/>
          <w:szCs w:val="24"/>
        </w:rPr>
        <w:t>,</w:t>
      </w:r>
      <w:r w:rsidRPr="00D95257">
        <w:rPr>
          <w:rFonts w:ascii="Bookman Old Style" w:hAnsi="Bookman Old Style"/>
          <w:i/>
          <w:sz w:val="24"/>
          <w:szCs w:val="24"/>
        </w:rPr>
        <w:t xml:space="preserve"> che neppure la pubblica amministrazione può sacrificare o comprimere, anche se agisca a tutela specifica della salute pubblica</w:t>
      </w:r>
      <w:r>
        <w:rPr>
          <w:rFonts w:ascii="Bookman Old Style" w:hAnsi="Bookman Old Style"/>
          <w:sz w:val="24"/>
          <w:szCs w:val="24"/>
        </w:rPr>
        <w:t>”</w:t>
      </w:r>
      <w:r w:rsidRPr="00D95257">
        <w:rPr>
          <w:rFonts w:ascii="Bookman Old Style" w:hAnsi="Bookman Old Style"/>
          <w:sz w:val="24"/>
          <w:szCs w:val="24"/>
        </w:rPr>
        <w:t xml:space="preserve"> (Cass. Civ. Sent. 9893/2000)</w:t>
      </w:r>
      <w:r>
        <w:rPr>
          <w:rFonts w:ascii="Bookman Old Style" w:hAnsi="Bookman Old Style"/>
          <w:sz w:val="24"/>
          <w:szCs w:val="24"/>
        </w:rPr>
        <w:t>;</w:t>
      </w:r>
    </w:p>
    <w:p w:rsidR="00D95257" w:rsidRPr="00D95257" w:rsidRDefault="00D95257" w:rsidP="00D95257">
      <w:pPr>
        <w:pStyle w:val="Paragrafoelenco"/>
        <w:rPr>
          <w:sz w:val="8"/>
          <w:szCs w:val="8"/>
        </w:rPr>
      </w:pPr>
    </w:p>
    <w:p w:rsidR="00113977" w:rsidRDefault="00D95257" w:rsidP="00113977">
      <w:pPr>
        <w:pStyle w:val="Paragrafoelenco"/>
        <w:numPr>
          <w:ilvl w:val="0"/>
          <w:numId w:val="1"/>
        </w:numPr>
        <w:spacing w:after="240" w:line="276" w:lineRule="auto"/>
        <w:ind w:left="284" w:hanging="284"/>
        <w:jc w:val="both"/>
        <w:rPr>
          <w:rFonts w:ascii="Bookman Old Style" w:hAnsi="Bookman Old Style"/>
          <w:sz w:val="24"/>
          <w:szCs w:val="24"/>
        </w:rPr>
      </w:pPr>
      <w:r>
        <w:rPr>
          <w:rFonts w:ascii="Bookman Old Style" w:hAnsi="Bookman Old Style"/>
          <w:sz w:val="24"/>
          <w:szCs w:val="24"/>
        </w:rPr>
        <w:t>Visto</w:t>
      </w:r>
      <w:r w:rsidRPr="00D95257">
        <w:rPr>
          <w:rFonts w:ascii="Bookman Old Style" w:hAnsi="Bookman Old Style"/>
          <w:sz w:val="24"/>
          <w:szCs w:val="24"/>
        </w:rPr>
        <w:t xml:space="preserve"> il </w:t>
      </w:r>
      <w:r w:rsidRPr="00D733CA">
        <w:rPr>
          <w:rFonts w:ascii="Bookman Old Style" w:hAnsi="Bookman Old Style"/>
          <w:sz w:val="24"/>
          <w:szCs w:val="24"/>
          <w:u w:val="single"/>
        </w:rPr>
        <w:t>Principio di Precauzione, di cui all'Art.174 del Trattato UE</w:t>
      </w:r>
      <w:r>
        <w:rPr>
          <w:rFonts w:ascii="Bookman Old Style" w:hAnsi="Bookman Old Style"/>
          <w:sz w:val="24"/>
          <w:szCs w:val="24"/>
        </w:rPr>
        <w:t>,</w:t>
      </w:r>
      <w:r w:rsidRPr="00D95257">
        <w:rPr>
          <w:rFonts w:ascii="Bookman Old Style" w:hAnsi="Bookman Old Style"/>
          <w:sz w:val="24"/>
          <w:szCs w:val="24"/>
        </w:rPr>
        <w:t xml:space="preserve"> che deve considerarsi parte integrante dell'ordinamento nazionale</w:t>
      </w:r>
      <w:r>
        <w:rPr>
          <w:rFonts w:ascii="Bookman Old Style" w:hAnsi="Bookman Old Style"/>
          <w:sz w:val="24"/>
          <w:szCs w:val="24"/>
        </w:rPr>
        <w:t xml:space="preserve">, in quanto recepito nell’art. 1 della </w:t>
      </w:r>
      <w:r w:rsidRPr="00084E55">
        <w:rPr>
          <w:rFonts w:ascii="Bookman Old Style" w:hAnsi="Bookman Old Style"/>
          <w:sz w:val="24"/>
          <w:szCs w:val="24"/>
          <w:u w:val="single"/>
        </w:rPr>
        <w:t>Legge Quadro sulla tutela dai campi elettromagnetici, n. 36/2001</w:t>
      </w:r>
      <w:r w:rsidRPr="00D95257">
        <w:rPr>
          <w:rFonts w:ascii="Bookman Old Style" w:hAnsi="Bookman Old Style"/>
          <w:sz w:val="24"/>
          <w:szCs w:val="24"/>
        </w:rPr>
        <w:t>. - “</w:t>
      </w:r>
      <w:r w:rsidRPr="00113977">
        <w:rPr>
          <w:rFonts w:ascii="Bookman Old Style" w:hAnsi="Bookman Old Style"/>
          <w:i/>
          <w:sz w:val="24"/>
          <w:szCs w:val="24"/>
        </w:rPr>
        <w:t>La politica della Comunità Europea in materia ambientale mira ad un elevato livello di tutela... Essa è fondata sui principi della precauzione e dell’azione preventiva</w:t>
      </w:r>
      <w:r w:rsidRPr="00D95257">
        <w:rPr>
          <w:rFonts w:ascii="Bookman Old Style" w:hAnsi="Bookman Old Style"/>
          <w:sz w:val="24"/>
          <w:szCs w:val="24"/>
        </w:rPr>
        <w:t>”</w:t>
      </w:r>
      <w:r w:rsidR="00113977">
        <w:rPr>
          <w:rFonts w:ascii="Bookman Old Style" w:hAnsi="Bookman Old Style"/>
          <w:sz w:val="24"/>
          <w:szCs w:val="24"/>
        </w:rPr>
        <w:t>.</w:t>
      </w:r>
      <w:r w:rsidRPr="00D95257">
        <w:rPr>
          <w:rFonts w:ascii="Bookman Old Style" w:hAnsi="Bookman Old Style"/>
          <w:sz w:val="24"/>
          <w:szCs w:val="24"/>
        </w:rPr>
        <w:t xml:space="preserve"> "</w:t>
      </w:r>
      <w:r w:rsidRPr="00113977">
        <w:rPr>
          <w:rFonts w:ascii="Bookman Old Style" w:hAnsi="Bookman Old Style"/>
          <w:i/>
          <w:sz w:val="24"/>
          <w:szCs w:val="24"/>
        </w:rPr>
        <w:t>Il Principio di Precauzione impone, in caso di dubbio sul livello di rischio, di adottare l’impostazione più conservativa consistente nel minimizzare detto rischio, eventualmente preferendo l’opzione zero. Per chiarire ulteriormente, qualora lo stato delle conoscenze scientifiche sia tale da porre anche un ragionevole dubbio sulla sussistenza di effetti nocivi per l'uomo e l'ambiente derivanti da un determinato agente, è necessario adottare quei provvedimenti che possono evitare la concretizzazione del rischio</w:t>
      </w:r>
      <w:r w:rsidRPr="00D95257">
        <w:rPr>
          <w:rFonts w:ascii="Bookman Old Style" w:hAnsi="Bookman Old Style"/>
          <w:sz w:val="24"/>
          <w:szCs w:val="24"/>
        </w:rPr>
        <w:t>"</w:t>
      </w:r>
      <w:r w:rsidR="005F7BE7">
        <w:rPr>
          <w:rFonts w:ascii="Bookman Old Style" w:hAnsi="Bookman Old Style"/>
          <w:sz w:val="24"/>
          <w:szCs w:val="24"/>
        </w:rPr>
        <w:t xml:space="preserve"> </w:t>
      </w:r>
      <w:r w:rsidR="005F7BE7" w:rsidRPr="005F7BE7">
        <w:rPr>
          <w:rFonts w:ascii="Bookman Old Style" w:hAnsi="Bookman Old Style"/>
          <w:sz w:val="24"/>
          <w:szCs w:val="24"/>
        </w:rPr>
        <w:t xml:space="preserve">(Trib. Civ. Venezia – </w:t>
      </w:r>
      <w:proofErr w:type="spellStart"/>
      <w:r w:rsidR="005F7BE7" w:rsidRPr="005F7BE7">
        <w:rPr>
          <w:rFonts w:ascii="Bookman Old Style" w:hAnsi="Bookman Old Style"/>
          <w:sz w:val="24"/>
          <w:szCs w:val="24"/>
        </w:rPr>
        <w:t>Ord</w:t>
      </w:r>
      <w:proofErr w:type="spellEnd"/>
      <w:r w:rsidR="005F7BE7" w:rsidRPr="005F7BE7">
        <w:rPr>
          <w:rFonts w:ascii="Bookman Old Style" w:hAnsi="Bookman Old Style"/>
          <w:sz w:val="24"/>
          <w:szCs w:val="24"/>
        </w:rPr>
        <w:t>. 441/2008)</w:t>
      </w:r>
      <w:r w:rsidR="005F7BE7">
        <w:rPr>
          <w:rFonts w:ascii="Bookman Old Style" w:hAnsi="Bookman Old Style"/>
          <w:sz w:val="24"/>
          <w:szCs w:val="24"/>
        </w:rPr>
        <w:t>;</w:t>
      </w:r>
    </w:p>
    <w:p w:rsidR="0044676B" w:rsidRPr="0044676B" w:rsidRDefault="0044676B" w:rsidP="0044676B">
      <w:pPr>
        <w:pStyle w:val="Paragrafoelenco"/>
        <w:rPr>
          <w:rFonts w:ascii="Bookman Old Style" w:hAnsi="Bookman Old Style"/>
          <w:sz w:val="8"/>
          <w:szCs w:val="8"/>
        </w:rPr>
      </w:pPr>
    </w:p>
    <w:p w:rsidR="0044676B" w:rsidRDefault="0044676B" w:rsidP="00C10F6F">
      <w:pPr>
        <w:pStyle w:val="Paragrafoelenco"/>
        <w:numPr>
          <w:ilvl w:val="0"/>
          <w:numId w:val="1"/>
        </w:numPr>
        <w:spacing w:after="240" w:line="276" w:lineRule="auto"/>
        <w:ind w:left="284" w:hanging="284"/>
        <w:jc w:val="both"/>
        <w:rPr>
          <w:rFonts w:ascii="Bookman Old Style" w:hAnsi="Bookman Old Style"/>
          <w:sz w:val="24"/>
          <w:szCs w:val="24"/>
        </w:rPr>
      </w:pPr>
      <w:r>
        <w:rPr>
          <w:rFonts w:ascii="Bookman Old Style" w:hAnsi="Bookman Old Style"/>
          <w:sz w:val="24"/>
          <w:szCs w:val="24"/>
        </w:rPr>
        <w:t xml:space="preserve">Considerato che </w:t>
      </w:r>
      <w:r w:rsidR="00C10F6F" w:rsidRPr="0044676B">
        <w:rPr>
          <w:rFonts w:ascii="Bookman Old Style" w:hAnsi="Bookman Old Style"/>
          <w:sz w:val="24"/>
          <w:szCs w:val="24"/>
        </w:rPr>
        <w:t>“</w:t>
      </w:r>
      <w:r w:rsidR="00C10F6F" w:rsidRPr="0044676B">
        <w:rPr>
          <w:rFonts w:ascii="Bookman Old Style" w:hAnsi="Bookman Old Style"/>
          <w:i/>
          <w:sz w:val="24"/>
          <w:szCs w:val="24"/>
        </w:rPr>
        <w:t>rientra nei poteri del giudice ordinario accertare se, sulla base delle conoscenze scientifiche acquisite nel momento in cui si tratta di decidere sulla domanda, avuto riguardo anche alla situazione del caso concreto, vi sia pericolo per la conservazione dello stato di salute nella esposizione al fattore inquinante, ancorché tale esposizione si determini nel rispetto dei limiti massimi stabiliti dalla disciplina di rango secondario vigente al momento della decisione</w:t>
      </w:r>
      <w:r w:rsidR="00C10F6F" w:rsidRPr="0044676B">
        <w:rPr>
          <w:rFonts w:ascii="Bookman Old Style" w:hAnsi="Bookman Old Style"/>
          <w:sz w:val="24"/>
          <w:szCs w:val="24"/>
        </w:rPr>
        <w:t>” (Cass. Civ. Sent. 9893/2000)</w:t>
      </w:r>
      <w:r w:rsidR="006B62AA" w:rsidRPr="0044676B">
        <w:rPr>
          <w:rFonts w:ascii="Bookman Old Style" w:hAnsi="Bookman Old Style"/>
          <w:sz w:val="24"/>
          <w:szCs w:val="24"/>
        </w:rPr>
        <w:t>;</w:t>
      </w:r>
    </w:p>
    <w:p w:rsidR="0044676B" w:rsidRPr="0044676B" w:rsidRDefault="0044676B" w:rsidP="0044676B">
      <w:pPr>
        <w:pStyle w:val="Paragrafoelenco"/>
        <w:rPr>
          <w:rFonts w:ascii="Bookman Old Style" w:hAnsi="Bookman Old Style"/>
          <w:sz w:val="8"/>
          <w:szCs w:val="8"/>
        </w:rPr>
      </w:pPr>
    </w:p>
    <w:p w:rsidR="0044676B" w:rsidRDefault="0044676B" w:rsidP="00C10F6F">
      <w:pPr>
        <w:pStyle w:val="Paragrafoelenco"/>
        <w:numPr>
          <w:ilvl w:val="0"/>
          <w:numId w:val="1"/>
        </w:numPr>
        <w:spacing w:after="240" w:line="276" w:lineRule="auto"/>
        <w:ind w:left="284" w:hanging="284"/>
        <w:jc w:val="both"/>
        <w:rPr>
          <w:rFonts w:ascii="Bookman Old Style" w:hAnsi="Bookman Old Style"/>
          <w:sz w:val="24"/>
          <w:szCs w:val="24"/>
        </w:rPr>
      </w:pPr>
      <w:r>
        <w:rPr>
          <w:rFonts w:ascii="Bookman Old Style" w:hAnsi="Bookman Old Style"/>
          <w:sz w:val="24"/>
          <w:szCs w:val="24"/>
        </w:rPr>
        <w:t xml:space="preserve">Che </w:t>
      </w:r>
      <w:r w:rsidR="00E505F1" w:rsidRPr="0044676B">
        <w:rPr>
          <w:rFonts w:ascii="Bookman Old Style" w:hAnsi="Bookman Old Style"/>
          <w:sz w:val="24"/>
          <w:szCs w:val="24"/>
        </w:rPr>
        <w:t>“</w:t>
      </w:r>
      <w:r w:rsidR="00E505F1" w:rsidRPr="0044676B">
        <w:rPr>
          <w:rFonts w:ascii="Bookman Old Style" w:hAnsi="Bookman Old Style"/>
          <w:i/>
          <w:sz w:val="24"/>
          <w:szCs w:val="24"/>
        </w:rPr>
        <w:t xml:space="preserve">i parametri massimi previsti dalle norme </w:t>
      </w:r>
      <w:proofErr w:type="spellStart"/>
      <w:r w:rsidR="00E505F1" w:rsidRPr="0044676B">
        <w:rPr>
          <w:rFonts w:ascii="Bookman Old Style" w:hAnsi="Bookman Old Style"/>
          <w:i/>
          <w:sz w:val="24"/>
          <w:szCs w:val="24"/>
        </w:rPr>
        <w:t>regolamentari</w:t>
      </w:r>
      <w:r w:rsidR="00B63A41">
        <w:rPr>
          <w:rFonts w:ascii="Bookman Old Style" w:hAnsi="Bookman Old Style"/>
          <w:i/>
          <w:sz w:val="24"/>
          <w:szCs w:val="24"/>
        </w:rPr>
        <w:t>e</w:t>
      </w:r>
      <w:proofErr w:type="spellEnd"/>
      <w:r w:rsidR="00E505F1" w:rsidRPr="0044676B">
        <w:rPr>
          <w:rFonts w:ascii="Bookman Old Style" w:hAnsi="Bookman Old Style"/>
          <w:i/>
          <w:sz w:val="24"/>
          <w:szCs w:val="24"/>
        </w:rPr>
        <w:t xml:space="preserve"> statali (DPCM del 2003) non sono vincolanti per il giudice ordinario nel momento in cui vengano in considerazione altri interessi costituzionalmente protetti, in primo luogo il diritto alla salute. Pertanto, laddove venga in considerazione la tutela del diritto alla </w:t>
      </w:r>
      <w:r w:rsidR="00E505F1" w:rsidRPr="0044676B">
        <w:rPr>
          <w:rFonts w:ascii="Bookman Old Style" w:hAnsi="Bookman Old Style"/>
          <w:i/>
          <w:sz w:val="24"/>
          <w:szCs w:val="24"/>
        </w:rPr>
        <w:lastRenderedPageBreak/>
        <w:t xml:space="preserve">salute, il prudente apprezzamento giudiziale non può in alcun caso rimanere vincolato dai limiti fissati da norme </w:t>
      </w:r>
      <w:proofErr w:type="spellStart"/>
      <w:r w:rsidR="00E505F1" w:rsidRPr="0044676B">
        <w:rPr>
          <w:rFonts w:ascii="Bookman Old Style" w:hAnsi="Bookman Old Style"/>
          <w:i/>
          <w:sz w:val="24"/>
          <w:szCs w:val="24"/>
        </w:rPr>
        <w:t>regolamentarie</w:t>
      </w:r>
      <w:proofErr w:type="spellEnd"/>
      <w:r w:rsidR="00E505F1" w:rsidRPr="0044676B">
        <w:rPr>
          <w:rFonts w:ascii="Bookman Old Style" w:hAnsi="Bookman Old Style"/>
          <w:sz w:val="24"/>
          <w:szCs w:val="24"/>
        </w:rPr>
        <w:t>” (Corte d’Appello Trib. Milano – Sent. 2168/2009)</w:t>
      </w:r>
      <w:r w:rsidR="006B62AA" w:rsidRPr="0044676B">
        <w:rPr>
          <w:rFonts w:ascii="Bookman Old Style" w:hAnsi="Bookman Old Style"/>
          <w:sz w:val="24"/>
          <w:szCs w:val="24"/>
        </w:rPr>
        <w:t>;</w:t>
      </w:r>
    </w:p>
    <w:p w:rsidR="0044676B" w:rsidRPr="0044676B" w:rsidRDefault="0044676B" w:rsidP="0044676B">
      <w:pPr>
        <w:pStyle w:val="Paragrafoelenco"/>
        <w:rPr>
          <w:rFonts w:ascii="Bookman Old Style" w:hAnsi="Bookman Old Style"/>
          <w:sz w:val="8"/>
          <w:szCs w:val="8"/>
        </w:rPr>
      </w:pPr>
    </w:p>
    <w:p w:rsidR="00C91558" w:rsidRDefault="0044676B" w:rsidP="00C10F6F">
      <w:pPr>
        <w:pStyle w:val="Paragrafoelenco"/>
        <w:numPr>
          <w:ilvl w:val="0"/>
          <w:numId w:val="1"/>
        </w:numPr>
        <w:spacing w:after="240" w:line="276" w:lineRule="auto"/>
        <w:ind w:left="284" w:hanging="284"/>
        <w:jc w:val="both"/>
        <w:rPr>
          <w:rFonts w:ascii="Bookman Old Style" w:hAnsi="Bookman Old Style"/>
          <w:sz w:val="24"/>
          <w:szCs w:val="24"/>
        </w:rPr>
      </w:pPr>
      <w:r>
        <w:rPr>
          <w:rFonts w:ascii="Bookman Old Style" w:hAnsi="Bookman Old Style"/>
          <w:sz w:val="24"/>
          <w:szCs w:val="24"/>
        </w:rPr>
        <w:t xml:space="preserve">Che </w:t>
      </w:r>
      <w:r w:rsidR="00E505F1" w:rsidRPr="0044676B">
        <w:rPr>
          <w:rFonts w:ascii="Bookman Old Style" w:hAnsi="Bookman Old Style"/>
          <w:sz w:val="24"/>
          <w:szCs w:val="24"/>
        </w:rPr>
        <w:t>“</w:t>
      </w:r>
      <w:r w:rsidR="00E505F1" w:rsidRPr="0044676B">
        <w:rPr>
          <w:rFonts w:ascii="Bookman Old Style" w:hAnsi="Bookman Old Style"/>
          <w:i/>
          <w:sz w:val="24"/>
          <w:szCs w:val="24"/>
        </w:rPr>
        <w:t>il diritto costituzionale alla salute va inteso nel senso più ampio... comprensivo del diritto a vivere in un contesto ambientale salubre, che va tutelato anche in via preventiva, ossia in presenza anche di un mero pericolo di lesione: la tutela, per essere effettiva non può essere infatti subordinata all'insorgenza di uno stato di malattia</w:t>
      </w:r>
      <w:r w:rsidR="00E505F1" w:rsidRPr="0044676B">
        <w:rPr>
          <w:rFonts w:ascii="Bookman Old Style" w:hAnsi="Bookman Old Style"/>
          <w:sz w:val="24"/>
          <w:szCs w:val="24"/>
        </w:rPr>
        <w:t xml:space="preserve">” (Trib. Civ. Venezia – </w:t>
      </w:r>
      <w:proofErr w:type="spellStart"/>
      <w:r w:rsidR="00E505F1" w:rsidRPr="0044676B">
        <w:rPr>
          <w:rFonts w:ascii="Bookman Old Style" w:hAnsi="Bookman Old Style"/>
          <w:sz w:val="24"/>
          <w:szCs w:val="24"/>
        </w:rPr>
        <w:t>Ord</w:t>
      </w:r>
      <w:proofErr w:type="spellEnd"/>
      <w:r w:rsidR="00E505F1" w:rsidRPr="0044676B">
        <w:rPr>
          <w:rFonts w:ascii="Bookman Old Style" w:hAnsi="Bookman Old Style"/>
          <w:sz w:val="24"/>
          <w:szCs w:val="24"/>
        </w:rPr>
        <w:t>. 441/2008)</w:t>
      </w:r>
      <w:r w:rsidR="000F3F32">
        <w:rPr>
          <w:rFonts w:ascii="Bookman Old Style" w:hAnsi="Bookman Old Style"/>
          <w:sz w:val="24"/>
          <w:szCs w:val="24"/>
        </w:rPr>
        <w:t>;</w:t>
      </w:r>
    </w:p>
    <w:p w:rsidR="00C91558" w:rsidRPr="00C91558" w:rsidRDefault="00C91558" w:rsidP="00C91558">
      <w:pPr>
        <w:pStyle w:val="Paragrafoelenco"/>
        <w:rPr>
          <w:rFonts w:ascii="Bookman Old Style" w:hAnsi="Bookman Old Style"/>
          <w:sz w:val="8"/>
          <w:szCs w:val="8"/>
        </w:rPr>
      </w:pPr>
    </w:p>
    <w:p w:rsidR="00C91558" w:rsidRDefault="00C91558" w:rsidP="00C10F6F">
      <w:pPr>
        <w:pStyle w:val="Paragrafoelenco"/>
        <w:numPr>
          <w:ilvl w:val="0"/>
          <w:numId w:val="1"/>
        </w:numPr>
        <w:spacing w:after="240" w:line="276" w:lineRule="auto"/>
        <w:ind w:left="284" w:hanging="284"/>
        <w:jc w:val="both"/>
        <w:rPr>
          <w:rFonts w:ascii="Bookman Old Style" w:hAnsi="Bookman Old Style"/>
          <w:sz w:val="24"/>
          <w:szCs w:val="24"/>
        </w:rPr>
      </w:pPr>
      <w:r>
        <w:rPr>
          <w:rFonts w:ascii="Bookman Old Style" w:hAnsi="Bookman Old Style"/>
          <w:sz w:val="24"/>
          <w:szCs w:val="24"/>
        </w:rPr>
        <w:t>Che “</w:t>
      </w:r>
      <w:proofErr w:type="spellStart"/>
      <w:r w:rsidR="00797DED" w:rsidRPr="00C91558">
        <w:rPr>
          <w:rFonts w:ascii="Bookman Old Style" w:hAnsi="Bookman Old Style"/>
          <w:sz w:val="24"/>
          <w:szCs w:val="24"/>
        </w:rPr>
        <w:t>…</w:t>
      </w:r>
      <w:r w:rsidR="00797DED" w:rsidRPr="00C91558">
        <w:rPr>
          <w:rFonts w:ascii="Bookman Old Style" w:hAnsi="Bookman Old Style"/>
          <w:i/>
          <w:sz w:val="24"/>
          <w:szCs w:val="24"/>
        </w:rPr>
        <w:t>L</w:t>
      </w:r>
      <w:proofErr w:type="spellEnd"/>
      <w:r w:rsidR="00797DED" w:rsidRPr="00C91558">
        <w:rPr>
          <w:rFonts w:ascii="Bookman Old Style" w:hAnsi="Bookman Old Style"/>
          <w:i/>
          <w:sz w:val="24"/>
          <w:szCs w:val="24"/>
        </w:rPr>
        <w:t xml:space="preserve">’emanazione di </w:t>
      </w:r>
      <w:proofErr w:type="spellStart"/>
      <w:r w:rsidR="00797DED" w:rsidRPr="00C91558">
        <w:rPr>
          <w:rFonts w:ascii="Bookman Old Style" w:hAnsi="Bookman Old Style"/>
          <w:i/>
          <w:sz w:val="24"/>
          <w:szCs w:val="24"/>
        </w:rPr>
        <w:t>standards</w:t>
      </w:r>
      <w:proofErr w:type="spellEnd"/>
      <w:r w:rsidR="00797DED" w:rsidRPr="00C91558">
        <w:rPr>
          <w:rFonts w:ascii="Bookman Old Style" w:hAnsi="Bookman Old Style"/>
          <w:i/>
          <w:sz w:val="24"/>
          <w:szCs w:val="24"/>
        </w:rPr>
        <w:t xml:space="preserve"> normativi non può precludere una valutazione in concreto di intollerabilità, atteso anche che l’integrità della persona ed il bene primario della salute non possono essere valutati in termini esclusivamente fisici e materialmente constatabili in modo universale e differenziato. In particolare, si ritiene che anche i limiti previsti dal DPCM 8 Luglio 2003 non possono modificare il quadro giuridico di cui agli articoli 844 C.C. e 2043 C.C., direttamente riconducibile all’articolo 32 della Costituzione, per cui il superamento della soglia di intollerabilità è da accertarsi in concreto ad opera del giudice, in relazione ad un determinato effetto </w:t>
      </w:r>
      <w:proofErr w:type="spellStart"/>
      <w:r w:rsidR="00797DED" w:rsidRPr="00C91558">
        <w:rPr>
          <w:rFonts w:ascii="Bookman Old Style" w:hAnsi="Bookman Old Style"/>
          <w:i/>
          <w:sz w:val="24"/>
          <w:szCs w:val="24"/>
        </w:rPr>
        <w:t>immissivo</w:t>
      </w:r>
      <w:proofErr w:type="spellEnd"/>
      <w:r>
        <w:rPr>
          <w:rFonts w:ascii="Bookman Old Style" w:hAnsi="Bookman Old Style"/>
          <w:sz w:val="24"/>
          <w:szCs w:val="24"/>
        </w:rPr>
        <w:t>”</w:t>
      </w:r>
      <w:r w:rsidR="00797DED" w:rsidRPr="00C91558">
        <w:rPr>
          <w:rFonts w:ascii="Bookman Old Style" w:hAnsi="Bookman Old Style"/>
          <w:sz w:val="24"/>
          <w:szCs w:val="24"/>
        </w:rPr>
        <w:t xml:space="preserve"> (Trib. Civ. Modena – Sent. 1430/2004)</w:t>
      </w:r>
      <w:r w:rsidR="000F3F32">
        <w:rPr>
          <w:rFonts w:ascii="Bookman Old Style" w:hAnsi="Bookman Old Style"/>
          <w:sz w:val="24"/>
          <w:szCs w:val="24"/>
        </w:rPr>
        <w:t>;</w:t>
      </w:r>
    </w:p>
    <w:p w:rsidR="00C91558" w:rsidRPr="00C91558" w:rsidRDefault="00C91558" w:rsidP="00C91558">
      <w:pPr>
        <w:pStyle w:val="Paragrafoelenco"/>
        <w:rPr>
          <w:rFonts w:ascii="Bookman Old Style" w:hAnsi="Bookman Old Style"/>
          <w:sz w:val="8"/>
          <w:szCs w:val="8"/>
        </w:rPr>
      </w:pPr>
    </w:p>
    <w:p w:rsidR="000F3F32" w:rsidRDefault="00C91558" w:rsidP="00C10F6F">
      <w:pPr>
        <w:pStyle w:val="Paragrafoelenco"/>
        <w:numPr>
          <w:ilvl w:val="0"/>
          <w:numId w:val="1"/>
        </w:numPr>
        <w:spacing w:after="240" w:line="276" w:lineRule="auto"/>
        <w:ind w:left="284" w:hanging="284"/>
        <w:jc w:val="both"/>
        <w:rPr>
          <w:rFonts w:ascii="Bookman Old Style" w:hAnsi="Bookman Old Style"/>
          <w:sz w:val="24"/>
          <w:szCs w:val="24"/>
        </w:rPr>
      </w:pPr>
      <w:r>
        <w:rPr>
          <w:rFonts w:ascii="Bookman Old Style" w:hAnsi="Bookman Old Style"/>
          <w:sz w:val="24"/>
          <w:szCs w:val="24"/>
        </w:rPr>
        <w:t>Che, al riguardo, risulta</w:t>
      </w:r>
      <w:r w:rsidR="00797DED" w:rsidRPr="00C91558">
        <w:rPr>
          <w:rFonts w:ascii="Bookman Old Style" w:hAnsi="Bookman Old Style"/>
          <w:sz w:val="24"/>
          <w:szCs w:val="24"/>
        </w:rPr>
        <w:t xml:space="preserve"> significativa </w:t>
      </w:r>
      <w:r w:rsidR="000F3F32">
        <w:rPr>
          <w:rFonts w:ascii="Bookman Old Style" w:hAnsi="Bookman Old Style"/>
          <w:sz w:val="24"/>
          <w:szCs w:val="24"/>
        </w:rPr>
        <w:t xml:space="preserve">la </w:t>
      </w:r>
      <w:r w:rsidR="00797DED" w:rsidRPr="00C91558">
        <w:rPr>
          <w:rFonts w:ascii="Bookman Old Style" w:hAnsi="Bookman Old Style"/>
          <w:sz w:val="24"/>
          <w:szCs w:val="24"/>
        </w:rPr>
        <w:t>tabella dei disturbi lamentati dalle persone che riferiscono “</w:t>
      </w:r>
      <w:r w:rsidR="00797DED" w:rsidRPr="000F3F32">
        <w:rPr>
          <w:rFonts w:ascii="Bookman Old Style" w:hAnsi="Bookman Old Style"/>
          <w:i/>
          <w:sz w:val="24"/>
          <w:szCs w:val="24"/>
        </w:rPr>
        <w:t>ipersensibilità ai campi elettromagnetici</w:t>
      </w:r>
      <w:r w:rsidR="00797DED" w:rsidRPr="00C91558">
        <w:rPr>
          <w:rFonts w:ascii="Bookman Old Style" w:hAnsi="Bookman Old Style"/>
          <w:sz w:val="24"/>
          <w:szCs w:val="24"/>
        </w:rPr>
        <w:t>”</w:t>
      </w:r>
      <w:r w:rsidR="000F3F32">
        <w:rPr>
          <w:rFonts w:ascii="Bookman Old Style" w:hAnsi="Bookman Old Style"/>
          <w:sz w:val="24"/>
          <w:szCs w:val="24"/>
        </w:rPr>
        <w:t>, inerenti</w:t>
      </w:r>
      <w:r w:rsidR="00797DED" w:rsidRPr="00C91558">
        <w:rPr>
          <w:rFonts w:ascii="Bookman Old Style" w:hAnsi="Bookman Old Style"/>
          <w:sz w:val="24"/>
          <w:szCs w:val="24"/>
        </w:rPr>
        <w:t xml:space="preserve"> principalmente i sistemi nervoso e cardiovascolare e l’apparato cutaneo (</w:t>
      </w:r>
      <w:r w:rsidR="0014402C">
        <w:rPr>
          <w:rFonts w:ascii="Bookman Old Style" w:hAnsi="Bookman Old Style"/>
          <w:sz w:val="24"/>
          <w:szCs w:val="24"/>
        </w:rPr>
        <w:t xml:space="preserve">dalla </w:t>
      </w:r>
      <w:r w:rsidR="00797DED" w:rsidRPr="00C91558">
        <w:rPr>
          <w:rFonts w:ascii="Bookman Old Style" w:hAnsi="Bookman Old Style"/>
          <w:sz w:val="24"/>
          <w:szCs w:val="24"/>
        </w:rPr>
        <w:t>Relazione Gobba</w:t>
      </w:r>
      <w:r w:rsidR="000F3F32">
        <w:rPr>
          <w:rFonts w:ascii="Bookman Old Style" w:hAnsi="Bookman Old Style"/>
          <w:sz w:val="24"/>
          <w:szCs w:val="24"/>
        </w:rPr>
        <w:t>/</w:t>
      </w:r>
      <w:r w:rsidR="00797DED" w:rsidRPr="00C91558">
        <w:rPr>
          <w:rFonts w:ascii="Bookman Old Style" w:hAnsi="Bookman Old Style"/>
          <w:sz w:val="24"/>
          <w:szCs w:val="24"/>
        </w:rPr>
        <w:t>Comba – Consulenti Giudice Trib. Modena</w:t>
      </w:r>
      <w:r w:rsidR="00D952EF">
        <w:rPr>
          <w:rFonts w:ascii="Bookman Old Style" w:hAnsi="Bookman Old Style"/>
          <w:sz w:val="24"/>
          <w:szCs w:val="24"/>
        </w:rPr>
        <w:t xml:space="preserve"> - </w:t>
      </w:r>
      <w:r w:rsidR="00D952EF" w:rsidRPr="00C91558">
        <w:rPr>
          <w:rFonts w:ascii="Bookman Old Style" w:hAnsi="Bookman Old Style"/>
          <w:sz w:val="24"/>
          <w:szCs w:val="24"/>
        </w:rPr>
        <w:t>Sent. 1430/2004</w:t>
      </w:r>
      <w:r w:rsidR="00797DED" w:rsidRPr="00C91558">
        <w:rPr>
          <w:rFonts w:ascii="Bookman Old Style" w:hAnsi="Bookman Old Style"/>
          <w:sz w:val="24"/>
          <w:szCs w:val="24"/>
        </w:rPr>
        <w:t>)</w:t>
      </w:r>
      <w:r w:rsidR="0014402C">
        <w:rPr>
          <w:rFonts w:ascii="Bookman Old Style" w:hAnsi="Bookman Old Style"/>
          <w:sz w:val="24"/>
          <w:szCs w:val="24"/>
        </w:rPr>
        <w:t>;</w:t>
      </w:r>
    </w:p>
    <w:p w:rsidR="00F73920" w:rsidRPr="00F73920" w:rsidRDefault="00F73920" w:rsidP="00F73920">
      <w:pPr>
        <w:pStyle w:val="Paragrafoelenco"/>
        <w:rPr>
          <w:rFonts w:ascii="Bookman Old Style" w:hAnsi="Bookman Old Style"/>
          <w:sz w:val="8"/>
          <w:szCs w:val="8"/>
        </w:rPr>
      </w:pPr>
    </w:p>
    <w:p w:rsidR="00F73920" w:rsidRPr="00DB65EE" w:rsidRDefault="00F73920" w:rsidP="00C10F6F">
      <w:pPr>
        <w:pStyle w:val="Paragrafoelenco"/>
        <w:numPr>
          <w:ilvl w:val="0"/>
          <w:numId w:val="1"/>
        </w:numPr>
        <w:spacing w:after="240" w:line="276" w:lineRule="auto"/>
        <w:ind w:left="284" w:hanging="284"/>
        <w:jc w:val="both"/>
        <w:rPr>
          <w:rStyle w:val="Enfasigrassetto"/>
          <w:rFonts w:ascii="Bookman Old Style" w:hAnsi="Bookman Old Style"/>
          <w:b w:val="0"/>
          <w:bCs w:val="0"/>
          <w:sz w:val="24"/>
          <w:szCs w:val="24"/>
        </w:rPr>
      </w:pPr>
      <w:r>
        <w:rPr>
          <w:rFonts w:ascii="Bookman Old Style" w:hAnsi="Bookman Old Style" w:cs="Arial"/>
          <w:sz w:val="24"/>
          <w:szCs w:val="24"/>
          <w:shd w:val="clear" w:color="auto" w:fill="FFFFFF"/>
        </w:rPr>
        <w:t>Valutato, in</w:t>
      </w:r>
      <w:r w:rsidR="00A03B5B">
        <w:rPr>
          <w:rFonts w:ascii="Bookman Old Style" w:hAnsi="Bookman Old Style" w:cs="Arial"/>
          <w:sz w:val="24"/>
          <w:szCs w:val="24"/>
          <w:shd w:val="clear" w:color="auto" w:fill="FFFFFF"/>
        </w:rPr>
        <w:t>oltre,</w:t>
      </w:r>
      <w:r>
        <w:rPr>
          <w:rFonts w:ascii="Bookman Old Style" w:hAnsi="Bookman Old Style" w:cs="Arial"/>
          <w:sz w:val="24"/>
          <w:szCs w:val="24"/>
          <w:shd w:val="clear" w:color="auto" w:fill="FFFFFF"/>
        </w:rPr>
        <w:t xml:space="preserve"> “</w:t>
      </w:r>
      <w:r w:rsidRPr="00F73920">
        <w:rPr>
          <w:rFonts w:ascii="Bookman Old Style" w:hAnsi="Bookman Old Style" w:cs="Arial"/>
          <w:i/>
          <w:sz w:val="24"/>
          <w:szCs w:val="24"/>
          <w:shd w:val="clear" w:color="auto" w:fill="FFFFFF"/>
        </w:rPr>
        <w:t>l’orientamento costante della Cassazione</w:t>
      </w:r>
      <w:r w:rsidR="000E5764">
        <w:rPr>
          <w:rFonts w:ascii="Bookman Old Style" w:hAnsi="Bookman Old Style" w:cs="Arial"/>
          <w:i/>
          <w:sz w:val="24"/>
          <w:szCs w:val="24"/>
          <w:shd w:val="clear" w:color="auto" w:fill="FFFFFF"/>
        </w:rPr>
        <w:t>,</w:t>
      </w:r>
      <w:r w:rsidRPr="00F73920">
        <w:rPr>
          <w:rFonts w:ascii="Bookman Old Style" w:hAnsi="Bookman Old Style" w:cs="Arial"/>
          <w:i/>
          <w:sz w:val="24"/>
          <w:szCs w:val="24"/>
          <w:shd w:val="clear" w:color="auto" w:fill="FFFFFF"/>
        </w:rPr>
        <w:t xml:space="preserve"> nel senso che il mancato superamento dei limiti alle emissioni stabiliti dalla normativa pubblicistica non esclude necessariamente che le immissioni possano considerarsi intollerabili ai sensi dell’art. 844 c.c. </w:t>
      </w:r>
      <w:r w:rsidR="000E5764">
        <w:rPr>
          <w:rFonts w:ascii="Bookman Old Style" w:hAnsi="Bookman Old Style" w:cs="Arial"/>
          <w:i/>
          <w:sz w:val="24"/>
          <w:szCs w:val="24"/>
          <w:shd w:val="clear" w:color="auto" w:fill="FFFFFF"/>
        </w:rPr>
        <w:t xml:space="preserve"> e che, pertanto, </w:t>
      </w:r>
      <w:r w:rsidRPr="00F73920">
        <w:rPr>
          <w:rFonts w:ascii="Bookman Old Style" w:hAnsi="Bookman Old Style" w:cs="Arial"/>
          <w:i/>
          <w:sz w:val="24"/>
          <w:szCs w:val="24"/>
          <w:shd w:val="clear" w:color="auto" w:fill="FFFFFF"/>
        </w:rPr>
        <w:t>il giudizio in ordine alla tollerabilità delle immissioni va compiuto secondo il prudente apprezzamento del giudice</w:t>
      </w:r>
      <w:r w:rsidR="000E5764">
        <w:rPr>
          <w:rFonts w:ascii="Bookman Old Style" w:hAnsi="Bookman Old Style" w:cs="Arial"/>
          <w:i/>
          <w:sz w:val="24"/>
          <w:szCs w:val="24"/>
          <w:shd w:val="clear" w:color="auto" w:fill="FFFFFF"/>
        </w:rPr>
        <w:t>,</w:t>
      </w:r>
      <w:r w:rsidRPr="00F73920">
        <w:rPr>
          <w:rFonts w:ascii="Bookman Old Style" w:hAnsi="Bookman Old Style" w:cs="Arial"/>
          <w:i/>
          <w:sz w:val="24"/>
          <w:szCs w:val="24"/>
          <w:shd w:val="clear" w:color="auto" w:fill="FFFFFF"/>
        </w:rPr>
        <w:t xml:space="preserve"> che tenga conto della particolarità della situazione concreta nonché di una pluralità di interessi e diritti inerenti la persona</w:t>
      </w:r>
      <w:r w:rsidRPr="00F73920">
        <w:rPr>
          <w:rFonts w:ascii="Arial" w:hAnsi="Arial" w:cs="Arial"/>
          <w:sz w:val="23"/>
          <w:szCs w:val="23"/>
          <w:shd w:val="clear" w:color="auto" w:fill="FFFFFF"/>
        </w:rPr>
        <w:t>.</w:t>
      </w:r>
      <w:r>
        <w:rPr>
          <w:rFonts w:ascii="Arial" w:hAnsi="Arial" w:cs="Arial"/>
          <w:sz w:val="23"/>
          <w:szCs w:val="23"/>
          <w:shd w:val="clear" w:color="auto" w:fill="FFFFFF"/>
        </w:rPr>
        <w:t>” (</w:t>
      </w:r>
      <w:r w:rsidRPr="00F73920">
        <w:rPr>
          <w:rStyle w:val="Enfasigrassetto"/>
          <w:rFonts w:ascii="Bookman Old Style" w:hAnsi="Bookman Old Style" w:cs="Arial"/>
          <w:b w:val="0"/>
          <w:sz w:val="24"/>
          <w:szCs w:val="24"/>
          <w:bdr w:val="none" w:sz="0" w:space="0" w:color="auto" w:frame="1"/>
          <w:shd w:val="clear" w:color="auto" w:fill="FFFFFF"/>
        </w:rPr>
        <w:t>Cass. Civ., Sez. II – n. 8277/2019);</w:t>
      </w:r>
    </w:p>
    <w:p w:rsidR="00DB65EE" w:rsidRPr="00DB65EE" w:rsidRDefault="00DB65EE" w:rsidP="00DB65EE">
      <w:pPr>
        <w:pStyle w:val="Paragrafoelenco"/>
        <w:rPr>
          <w:rFonts w:ascii="Bookman Old Style" w:hAnsi="Bookman Old Style"/>
          <w:sz w:val="8"/>
          <w:szCs w:val="8"/>
        </w:rPr>
      </w:pPr>
    </w:p>
    <w:p w:rsidR="00DB65EE" w:rsidRPr="00D0041F" w:rsidRDefault="00A03B5B" w:rsidP="00C10F6F">
      <w:pPr>
        <w:pStyle w:val="Paragrafoelenco"/>
        <w:numPr>
          <w:ilvl w:val="0"/>
          <w:numId w:val="1"/>
        </w:numPr>
        <w:spacing w:after="240" w:line="276" w:lineRule="auto"/>
        <w:ind w:left="284" w:hanging="284"/>
        <w:jc w:val="both"/>
        <w:rPr>
          <w:rFonts w:ascii="Bookman Old Style" w:hAnsi="Bookman Old Style"/>
          <w:i/>
          <w:iCs/>
          <w:sz w:val="24"/>
          <w:szCs w:val="24"/>
        </w:rPr>
      </w:pPr>
      <w:r>
        <w:rPr>
          <w:rFonts w:ascii="Bookman Old Style" w:hAnsi="Bookman Old Style"/>
          <w:sz w:val="24"/>
          <w:szCs w:val="24"/>
        </w:rPr>
        <w:t>Recepita, infine,</w:t>
      </w:r>
      <w:r w:rsidR="00DB65EE">
        <w:rPr>
          <w:rFonts w:ascii="Bookman Old Style" w:hAnsi="Bookman Old Style"/>
          <w:sz w:val="24"/>
          <w:szCs w:val="24"/>
        </w:rPr>
        <w:t xml:space="preserve"> la Sentenza della Cassazione Civile</w:t>
      </w:r>
      <w:r w:rsidR="003C723C">
        <w:rPr>
          <w:rFonts w:ascii="Bookman Old Style" w:hAnsi="Bookman Old Style"/>
          <w:sz w:val="24"/>
          <w:szCs w:val="24"/>
        </w:rPr>
        <w:t xml:space="preserve"> secondo cui, “</w:t>
      </w:r>
      <w:r w:rsidR="003C723C" w:rsidRPr="003C723C">
        <w:rPr>
          <w:rFonts w:ascii="Bookman Old Style" w:hAnsi="Bookman Old Style"/>
          <w:i/>
          <w:iCs/>
          <w:sz w:val="24"/>
          <w:szCs w:val="24"/>
        </w:rPr>
        <w:t>ai fini della applicazione dei più rigorosi livelli di emissione</w:t>
      </w:r>
      <w:r w:rsidR="003C723C">
        <w:rPr>
          <w:rFonts w:ascii="Bookman Old Style" w:hAnsi="Bookman Old Style"/>
          <w:sz w:val="24"/>
          <w:szCs w:val="24"/>
        </w:rPr>
        <w:t xml:space="preserve">”, ai sensi del </w:t>
      </w:r>
      <w:proofErr w:type="spellStart"/>
      <w:r w:rsidR="003C723C">
        <w:rPr>
          <w:rFonts w:ascii="Bookman Old Style" w:hAnsi="Bookman Old Style"/>
          <w:sz w:val="24"/>
          <w:szCs w:val="24"/>
        </w:rPr>
        <w:t>dpcm</w:t>
      </w:r>
      <w:proofErr w:type="spellEnd"/>
      <w:r w:rsidR="003C723C">
        <w:rPr>
          <w:rFonts w:ascii="Bookman Old Style" w:hAnsi="Bookman Old Style"/>
          <w:sz w:val="24"/>
          <w:szCs w:val="24"/>
        </w:rPr>
        <w:t xml:space="preserve"> 8.07.2003</w:t>
      </w:r>
      <w:r w:rsidR="00D0041F">
        <w:rPr>
          <w:rFonts w:ascii="Bookman Old Style" w:hAnsi="Bookman Old Style"/>
          <w:sz w:val="24"/>
          <w:szCs w:val="24"/>
        </w:rPr>
        <w:t xml:space="preserve"> e sulla base del Principio di Precauzione, di matrice comunitaria</w:t>
      </w:r>
      <w:r w:rsidR="003C723C">
        <w:rPr>
          <w:rFonts w:ascii="Bookman Old Style" w:hAnsi="Bookman Old Style"/>
          <w:sz w:val="24"/>
          <w:szCs w:val="24"/>
        </w:rPr>
        <w:t xml:space="preserve">, </w:t>
      </w:r>
      <w:r w:rsidR="00D0041F">
        <w:rPr>
          <w:rFonts w:ascii="Bookman Old Style" w:hAnsi="Bookman Old Style"/>
          <w:sz w:val="24"/>
          <w:szCs w:val="24"/>
        </w:rPr>
        <w:t>“</w:t>
      </w:r>
      <w:r w:rsidR="00D0041F">
        <w:rPr>
          <w:rFonts w:ascii="Bookman Old Style" w:hAnsi="Bookman Old Style"/>
          <w:i/>
          <w:iCs/>
          <w:sz w:val="24"/>
          <w:szCs w:val="24"/>
        </w:rPr>
        <w:t xml:space="preserve">non è necessario il riscontro di un’effettiva ed attuale utilizzazione degli </w:t>
      </w:r>
      <w:r w:rsidR="003C723C" w:rsidRPr="00D0041F">
        <w:rPr>
          <w:rFonts w:ascii="Bookman Old Style" w:hAnsi="Bookman Old Style"/>
          <w:i/>
          <w:iCs/>
          <w:sz w:val="24"/>
          <w:szCs w:val="24"/>
        </w:rPr>
        <w:t>edifici adibiti alla permanenza non inferiore a quattro ore giornaliere</w:t>
      </w:r>
      <w:r w:rsidR="003C723C">
        <w:rPr>
          <w:rFonts w:ascii="Bookman Old Style" w:hAnsi="Bookman Old Style"/>
          <w:sz w:val="24"/>
          <w:szCs w:val="24"/>
        </w:rPr>
        <w:t>,</w:t>
      </w:r>
      <w:r w:rsidR="00D0041F">
        <w:rPr>
          <w:rFonts w:ascii="Bookman Old Style" w:hAnsi="Bookman Old Style"/>
          <w:sz w:val="24"/>
          <w:szCs w:val="24"/>
        </w:rPr>
        <w:t xml:space="preserve"> </w:t>
      </w:r>
      <w:r w:rsidR="00D0041F" w:rsidRPr="00D0041F">
        <w:rPr>
          <w:rFonts w:ascii="Bookman Old Style" w:hAnsi="Bookman Old Style"/>
          <w:i/>
          <w:iCs/>
          <w:sz w:val="24"/>
          <w:szCs w:val="24"/>
        </w:rPr>
        <w:t>ma è sufficiente la sola potenziale destinazione d’uso del bene</w:t>
      </w:r>
      <w:r w:rsidR="00D0041F">
        <w:rPr>
          <w:rFonts w:ascii="Bookman Old Style" w:hAnsi="Bookman Old Style"/>
          <w:sz w:val="24"/>
          <w:szCs w:val="24"/>
        </w:rPr>
        <w:t>”</w:t>
      </w:r>
      <w:r w:rsidR="00D0041F">
        <w:rPr>
          <w:rFonts w:ascii="Bookman Old Style" w:hAnsi="Bookman Old Style"/>
          <w:i/>
          <w:iCs/>
          <w:sz w:val="24"/>
          <w:szCs w:val="24"/>
        </w:rPr>
        <w:t xml:space="preserve">, </w:t>
      </w:r>
      <w:r w:rsidR="00D0041F">
        <w:rPr>
          <w:rFonts w:ascii="Bookman Old Style" w:hAnsi="Bookman Old Style"/>
          <w:sz w:val="24"/>
          <w:szCs w:val="24"/>
        </w:rPr>
        <w:t>“</w:t>
      </w:r>
      <w:r w:rsidR="00D0041F">
        <w:rPr>
          <w:rFonts w:ascii="Bookman Old Style" w:hAnsi="Bookman Old Style"/>
          <w:i/>
          <w:iCs/>
          <w:sz w:val="24"/>
          <w:szCs w:val="24"/>
        </w:rPr>
        <w:t>privilegiandosi un approccio prudenziale, che preservi la salute della collettività</w:t>
      </w:r>
      <w:r w:rsidR="00312D9A">
        <w:rPr>
          <w:rFonts w:ascii="Bookman Old Style" w:hAnsi="Bookman Old Style"/>
          <w:sz w:val="24"/>
          <w:szCs w:val="24"/>
        </w:rPr>
        <w:t>” (Sent. Cass. Civ., Sez. II</w:t>
      </w:r>
      <w:r w:rsidR="00527275">
        <w:rPr>
          <w:rFonts w:ascii="Bookman Old Style" w:hAnsi="Bookman Old Style"/>
          <w:sz w:val="24"/>
          <w:szCs w:val="24"/>
        </w:rPr>
        <w:t xml:space="preserve"> -</w:t>
      </w:r>
      <w:r w:rsidR="00312D9A">
        <w:rPr>
          <w:rFonts w:ascii="Bookman Old Style" w:hAnsi="Bookman Old Style"/>
          <w:sz w:val="24"/>
          <w:szCs w:val="24"/>
        </w:rPr>
        <w:t xml:space="preserve"> n. 6897 11.03.2021)</w:t>
      </w:r>
    </w:p>
    <w:p w:rsidR="0014402C" w:rsidRDefault="0014402C" w:rsidP="0014402C">
      <w:pPr>
        <w:pStyle w:val="Paragrafoelenco"/>
        <w:rPr>
          <w:rFonts w:ascii="Bookman Old Style" w:hAnsi="Bookman Old Style"/>
          <w:sz w:val="24"/>
          <w:szCs w:val="24"/>
        </w:rPr>
      </w:pPr>
    </w:p>
    <w:p w:rsidR="00312D9A" w:rsidRPr="0014402C" w:rsidRDefault="00312D9A" w:rsidP="0014402C">
      <w:pPr>
        <w:pStyle w:val="Paragrafoelenco"/>
        <w:rPr>
          <w:rFonts w:ascii="Bookman Old Style" w:hAnsi="Bookman Old Style"/>
          <w:sz w:val="24"/>
          <w:szCs w:val="24"/>
        </w:rPr>
      </w:pPr>
    </w:p>
    <w:p w:rsidR="0014402C" w:rsidRDefault="0014402C" w:rsidP="00C10F6F">
      <w:pPr>
        <w:pStyle w:val="Paragrafoelenco"/>
        <w:numPr>
          <w:ilvl w:val="0"/>
          <w:numId w:val="1"/>
        </w:numPr>
        <w:spacing w:after="240" w:line="276" w:lineRule="auto"/>
        <w:ind w:left="284" w:hanging="284"/>
        <w:jc w:val="both"/>
        <w:rPr>
          <w:rFonts w:ascii="Bookman Old Style" w:hAnsi="Bookman Old Style"/>
          <w:sz w:val="24"/>
          <w:szCs w:val="24"/>
        </w:rPr>
      </w:pPr>
      <w:r>
        <w:rPr>
          <w:rFonts w:ascii="Bookman Old Style" w:hAnsi="Bookman Old Style"/>
          <w:sz w:val="24"/>
          <w:szCs w:val="24"/>
        </w:rPr>
        <w:t>Per tutto quanto descritto e rappresentato</w:t>
      </w:r>
    </w:p>
    <w:p w:rsidR="000F3F32" w:rsidRDefault="000F3F32" w:rsidP="000F3F32">
      <w:pPr>
        <w:pStyle w:val="Paragrafoelenco"/>
        <w:rPr>
          <w:rFonts w:ascii="Bookman Old Style" w:hAnsi="Bookman Old Style"/>
          <w:sz w:val="8"/>
          <w:szCs w:val="8"/>
        </w:rPr>
      </w:pPr>
    </w:p>
    <w:p w:rsidR="00312D9A" w:rsidRDefault="00312D9A" w:rsidP="000F3F32">
      <w:pPr>
        <w:pStyle w:val="Paragrafoelenco"/>
        <w:rPr>
          <w:rFonts w:ascii="Bookman Old Style" w:hAnsi="Bookman Old Style"/>
          <w:sz w:val="8"/>
          <w:szCs w:val="8"/>
        </w:rPr>
      </w:pPr>
    </w:p>
    <w:p w:rsidR="00312D9A" w:rsidRDefault="00312D9A" w:rsidP="000F3F32">
      <w:pPr>
        <w:pStyle w:val="Paragrafoelenco"/>
        <w:rPr>
          <w:rFonts w:ascii="Bookman Old Style" w:hAnsi="Bookman Old Style"/>
          <w:sz w:val="8"/>
          <w:szCs w:val="8"/>
        </w:rPr>
      </w:pPr>
    </w:p>
    <w:p w:rsidR="00312D9A" w:rsidRDefault="00312D9A" w:rsidP="000F3F32">
      <w:pPr>
        <w:pStyle w:val="Paragrafoelenco"/>
        <w:rPr>
          <w:rFonts w:ascii="Bookman Old Style" w:hAnsi="Bookman Old Style"/>
          <w:sz w:val="8"/>
          <w:szCs w:val="8"/>
        </w:rPr>
      </w:pPr>
    </w:p>
    <w:p w:rsidR="00312D9A" w:rsidRDefault="00312D9A" w:rsidP="000F3F32">
      <w:pPr>
        <w:pStyle w:val="Paragrafoelenco"/>
        <w:rPr>
          <w:rFonts w:ascii="Bookman Old Style" w:hAnsi="Bookman Old Style"/>
          <w:sz w:val="8"/>
          <w:szCs w:val="8"/>
        </w:rPr>
      </w:pPr>
    </w:p>
    <w:p w:rsidR="00312D9A" w:rsidRPr="000F3F32" w:rsidRDefault="00312D9A" w:rsidP="000F3F32">
      <w:pPr>
        <w:pStyle w:val="Paragrafoelenco"/>
        <w:rPr>
          <w:rFonts w:ascii="Bookman Old Style" w:hAnsi="Bookman Old Style"/>
          <w:sz w:val="8"/>
          <w:szCs w:val="8"/>
        </w:rPr>
      </w:pPr>
    </w:p>
    <w:p w:rsidR="00BE68F4" w:rsidRPr="0044676B" w:rsidRDefault="0044676B" w:rsidP="0044676B">
      <w:pPr>
        <w:jc w:val="center"/>
        <w:rPr>
          <w:rFonts w:ascii="Bookman Old Style" w:hAnsi="Bookman Old Style"/>
          <w:b/>
          <w:sz w:val="24"/>
          <w:szCs w:val="24"/>
        </w:rPr>
      </w:pPr>
      <w:r w:rsidRPr="0044676B">
        <w:rPr>
          <w:rFonts w:ascii="Bookman Old Style" w:hAnsi="Bookman Old Style"/>
          <w:b/>
          <w:sz w:val="24"/>
          <w:szCs w:val="24"/>
        </w:rPr>
        <w:t xml:space="preserve">D I F </w:t>
      </w:r>
      <w:proofErr w:type="spellStart"/>
      <w:r w:rsidRPr="0044676B">
        <w:rPr>
          <w:rFonts w:ascii="Bookman Old Style" w:hAnsi="Bookman Old Style"/>
          <w:b/>
          <w:sz w:val="24"/>
          <w:szCs w:val="24"/>
        </w:rPr>
        <w:t>F</w:t>
      </w:r>
      <w:proofErr w:type="spellEnd"/>
      <w:r w:rsidRPr="0044676B">
        <w:rPr>
          <w:rFonts w:ascii="Bookman Old Style" w:hAnsi="Bookman Old Style"/>
          <w:b/>
          <w:sz w:val="24"/>
          <w:szCs w:val="24"/>
        </w:rPr>
        <w:t xml:space="preserve"> I D A</w:t>
      </w:r>
    </w:p>
    <w:p w:rsidR="004D3B67" w:rsidRDefault="0044676B" w:rsidP="004D3B67">
      <w:pPr>
        <w:pStyle w:val="Paragrafoelenco"/>
        <w:numPr>
          <w:ilvl w:val="0"/>
          <w:numId w:val="2"/>
        </w:numPr>
        <w:ind w:left="284" w:hanging="284"/>
        <w:jc w:val="both"/>
        <w:rPr>
          <w:rFonts w:ascii="Bookman Old Style" w:hAnsi="Bookman Old Style"/>
          <w:sz w:val="24"/>
          <w:szCs w:val="24"/>
        </w:rPr>
      </w:pPr>
      <w:r w:rsidRPr="004D3B67">
        <w:rPr>
          <w:rFonts w:ascii="Bookman Old Style" w:hAnsi="Bookman Old Style"/>
          <w:sz w:val="24"/>
          <w:szCs w:val="24"/>
        </w:rPr>
        <w:t>Codesto Ente</w:t>
      </w:r>
      <w:r w:rsidR="0014402C">
        <w:rPr>
          <w:rFonts w:ascii="Bookman Old Style" w:hAnsi="Bookman Old Style"/>
          <w:sz w:val="24"/>
          <w:szCs w:val="24"/>
        </w:rPr>
        <w:t>,</w:t>
      </w:r>
      <w:r w:rsidRPr="004D3B67">
        <w:rPr>
          <w:rFonts w:ascii="Bookman Old Style" w:hAnsi="Bookman Old Style"/>
          <w:sz w:val="24"/>
          <w:szCs w:val="24"/>
        </w:rPr>
        <w:t xml:space="preserve"> </w:t>
      </w:r>
      <w:r w:rsidR="000B17D3">
        <w:rPr>
          <w:rFonts w:ascii="Bookman Old Style" w:hAnsi="Bookman Old Style"/>
          <w:sz w:val="24"/>
          <w:szCs w:val="24"/>
        </w:rPr>
        <w:t>ai fini della autorizzazione</w:t>
      </w:r>
      <w:r w:rsidR="0014402C">
        <w:rPr>
          <w:rFonts w:ascii="Bookman Old Style" w:hAnsi="Bookman Old Style"/>
          <w:sz w:val="24"/>
          <w:szCs w:val="24"/>
        </w:rPr>
        <w:t xml:space="preserve"> </w:t>
      </w:r>
      <w:r w:rsidRPr="004D3B67">
        <w:rPr>
          <w:rFonts w:ascii="Bookman Old Style" w:hAnsi="Bookman Old Style"/>
          <w:sz w:val="24"/>
          <w:szCs w:val="24"/>
        </w:rPr>
        <w:t>ex art. 87 e segg.</w:t>
      </w:r>
      <w:r w:rsidR="000F3F32" w:rsidRPr="004D3B67">
        <w:rPr>
          <w:rFonts w:ascii="Bookman Old Style" w:hAnsi="Bookman Old Style"/>
          <w:sz w:val="24"/>
          <w:szCs w:val="24"/>
        </w:rPr>
        <w:t xml:space="preserve"> </w:t>
      </w:r>
      <w:r w:rsidR="0014402C">
        <w:rPr>
          <w:rFonts w:ascii="Bookman Old Style" w:hAnsi="Bookman Old Style"/>
          <w:sz w:val="24"/>
          <w:szCs w:val="24"/>
        </w:rPr>
        <w:t xml:space="preserve">del </w:t>
      </w:r>
      <w:proofErr w:type="spellStart"/>
      <w:r w:rsidR="000F3F32" w:rsidRPr="004D3B67">
        <w:rPr>
          <w:rFonts w:ascii="Bookman Old Style" w:hAnsi="Bookman Old Style"/>
          <w:sz w:val="24"/>
          <w:szCs w:val="24"/>
        </w:rPr>
        <w:t>D.Lgs.</w:t>
      </w:r>
      <w:proofErr w:type="spellEnd"/>
      <w:r w:rsidR="000F3F32" w:rsidRPr="004D3B67">
        <w:rPr>
          <w:rFonts w:ascii="Bookman Old Style" w:hAnsi="Bookman Old Style"/>
          <w:sz w:val="24"/>
          <w:szCs w:val="24"/>
        </w:rPr>
        <w:t xml:space="preserve"> 259/2003</w:t>
      </w:r>
      <w:r w:rsidR="00BC1A83">
        <w:rPr>
          <w:rFonts w:ascii="Bookman Old Style" w:hAnsi="Bookman Old Style"/>
          <w:sz w:val="24"/>
          <w:szCs w:val="24"/>
        </w:rPr>
        <w:t>,</w:t>
      </w:r>
      <w:r w:rsidRPr="004D3B67">
        <w:rPr>
          <w:rFonts w:ascii="Bookman Old Style" w:hAnsi="Bookman Old Style"/>
          <w:sz w:val="24"/>
          <w:szCs w:val="24"/>
        </w:rPr>
        <w:t xml:space="preserve"> </w:t>
      </w:r>
      <w:r w:rsidR="0014402C" w:rsidRPr="004D3B67">
        <w:rPr>
          <w:rFonts w:ascii="Bookman Old Style" w:hAnsi="Bookman Old Style"/>
          <w:sz w:val="24"/>
          <w:szCs w:val="24"/>
        </w:rPr>
        <w:t xml:space="preserve">a valutare preliminarmente </w:t>
      </w:r>
      <w:r w:rsidRPr="004D3B67">
        <w:rPr>
          <w:rFonts w:ascii="Bookman Old Style" w:hAnsi="Bookman Old Style"/>
          <w:sz w:val="24"/>
          <w:szCs w:val="24"/>
        </w:rPr>
        <w:t xml:space="preserve">l’istanza </w:t>
      </w:r>
      <w:r w:rsidR="00A03B5B">
        <w:rPr>
          <w:rFonts w:ascii="Bookman Old Style" w:hAnsi="Bookman Old Style"/>
          <w:sz w:val="24"/>
          <w:szCs w:val="24"/>
        </w:rPr>
        <w:t>di</w:t>
      </w:r>
      <w:r w:rsidRPr="004D3B67">
        <w:rPr>
          <w:rFonts w:ascii="Bookman Old Style" w:hAnsi="Bookman Old Style"/>
          <w:sz w:val="24"/>
          <w:szCs w:val="24"/>
        </w:rPr>
        <w:t xml:space="preserve"> installazione d</w:t>
      </w:r>
      <w:r w:rsidR="00527275">
        <w:rPr>
          <w:rFonts w:ascii="Bookman Old Style" w:hAnsi="Bookman Old Style"/>
          <w:sz w:val="24"/>
          <w:szCs w:val="24"/>
        </w:rPr>
        <w:t>i un</w:t>
      </w:r>
      <w:r w:rsidRPr="004D3B67">
        <w:rPr>
          <w:rFonts w:ascii="Bookman Old Style" w:hAnsi="Bookman Old Style"/>
          <w:sz w:val="24"/>
          <w:szCs w:val="24"/>
        </w:rPr>
        <w:t>a stazione radio base per il servizio di telefonia mobile e tecnologie assimilate</w:t>
      </w:r>
      <w:r w:rsidR="000F3F32" w:rsidRPr="004D3B67">
        <w:rPr>
          <w:rFonts w:ascii="Bookman Old Style" w:hAnsi="Bookman Old Style"/>
          <w:sz w:val="24"/>
          <w:szCs w:val="24"/>
        </w:rPr>
        <w:t>,</w:t>
      </w:r>
      <w:r w:rsidRPr="004D3B67">
        <w:rPr>
          <w:rFonts w:ascii="Bookman Old Style" w:hAnsi="Bookman Old Style"/>
          <w:sz w:val="24"/>
          <w:szCs w:val="24"/>
        </w:rPr>
        <w:t xml:space="preserve"> nei pressi della mia attuale</w:t>
      </w:r>
      <w:r w:rsidR="0014402C">
        <w:rPr>
          <w:rFonts w:ascii="Bookman Old Style" w:hAnsi="Bookman Old Style"/>
          <w:sz w:val="24"/>
          <w:szCs w:val="24"/>
        </w:rPr>
        <w:t xml:space="preserve"> </w:t>
      </w:r>
      <w:r w:rsidRPr="004D3B67">
        <w:rPr>
          <w:rFonts w:ascii="Bookman Old Style" w:hAnsi="Bookman Old Style"/>
          <w:sz w:val="24"/>
          <w:szCs w:val="24"/>
        </w:rPr>
        <w:t>residenza</w:t>
      </w:r>
      <w:r w:rsidR="00A03B5B">
        <w:rPr>
          <w:rFonts w:ascii="Bookman Old Style" w:hAnsi="Bookman Old Style"/>
          <w:sz w:val="24"/>
          <w:szCs w:val="24"/>
        </w:rPr>
        <w:t>/dimora/</w:t>
      </w:r>
      <w:r w:rsidRPr="004D3B67">
        <w:rPr>
          <w:rFonts w:ascii="Bookman Old Style" w:hAnsi="Bookman Old Style"/>
          <w:sz w:val="24"/>
          <w:szCs w:val="24"/>
        </w:rPr>
        <w:t xml:space="preserve">domicilio, </w:t>
      </w:r>
      <w:r w:rsidR="0014402C" w:rsidRPr="004D3B67">
        <w:rPr>
          <w:rFonts w:ascii="Bookman Old Style" w:hAnsi="Bookman Old Style"/>
          <w:sz w:val="24"/>
          <w:szCs w:val="24"/>
        </w:rPr>
        <w:t>segnalando che</w:t>
      </w:r>
      <w:r w:rsidR="0014402C">
        <w:rPr>
          <w:rFonts w:ascii="Bookman Old Style" w:hAnsi="Bookman Old Style"/>
          <w:sz w:val="24"/>
          <w:szCs w:val="24"/>
        </w:rPr>
        <w:t>,</w:t>
      </w:r>
      <w:r w:rsidR="0014402C" w:rsidRPr="004D3B67">
        <w:rPr>
          <w:rFonts w:ascii="Bookman Old Style" w:hAnsi="Bookman Old Style"/>
          <w:sz w:val="24"/>
          <w:szCs w:val="24"/>
        </w:rPr>
        <w:t xml:space="preserve"> </w:t>
      </w:r>
      <w:r w:rsidR="0014402C">
        <w:rPr>
          <w:rFonts w:ascii="Bookman Old Style" w:hAnsi="Bookman Old Style"/>
          <w:sz w:val="24"/>
          <w:szCs w:val="24"/>
        </w:rPr>
        <w:t xml:space="preserve">per </w:t>
      </w:r>
      <w:r w:rsidRPr="004D3B67">
        <w:rPr>
          <w:rFonts w:ascii="Bookman Old Style" w:hAnsi="Bookman Old Style"/>
          <w:sz w:val="24"/>
          <w:szCs w:val="24"/>
        </w:rPr>
        <w:t xml:space="preserve">quanto sopra riportato, nei termini e nelle forme descritte, ai fini della </w:t>
      </w:r>
      <w:r w:rsidR="000F3F32" w:rsidRPr="004D3B67">
        <w:rPr>
          <w:rFonts w:ascii="Bookman Old Style" w:hAnsi="Bookman Old Style"/>
          <w:sz w:val="24"/>
          <w:szCs w:val="24"/>
        </w:rPr>
        <w:t xml:space="preserve">piena </w:t>
      </w:r>
      <w:r w:rsidRPr="004D3B67">
        <w:rPr>
          <w:rFonts w:ascii="Bookman Old Style" w:hAnsi="Bookman Old Style"/>
          <w:sz w:val="24"/>
          <w:szCs w:val="24"/>
        </w:rPr>
        <w:t>attuazione del Principio di Precauzione</w:t>
      </w:r>
      <w:r w:rsidR="0014402C">
        <w:rPr>
          <w:rFonts w:ascii="Bookman Old Style" w:hAnsi="Bookman Old Style"/>
          <w:sz w:val="24"/>
          <w:szCs w:val="24"/>
        </w:rPr>
        <w:t>,</w:t>
      </w:r>
      <w:r w:rsidRPr="004D3B67">
        <w:rPr>
          <w:rFonts w:ascii="Bookman Old Style" w:hAnsi="Bookman Old Style"/>
          <w:sz w:val="24"/>
          <w:szCs w:val="24"/>
        </w:rPr>
        <w:t xml:space="preserve"> qualora, </w:t>
      </w:r>
      <w:r w:rsidR="00BC1A83">
        <w:rPr>
          <w:rFonts w:ascii="Bookman Old Style" w:hAnsi="Bookman Old Style"/>
          <w:sz w:val="24"/>
          <w:szCs w:val="24"/>
        </w:rPr>
        <w:t>a seguito</w:t>
      </w:r>
      <w:r w:rsidRPr="004D3B67">
        <w:rPr>
          <w:rFonts w:ascii="Bookman Old Style" w:hAnsi="Bookman Old Style"/>
          <w:sz w:val="24"/>
          <w:szCs w:val="24"/>
        </w:rPr>
        <w:t xml:space="preserve"> </w:t>
      </w:r>
      <w:r w:rsidR="00E450B3" w:rsidRPr="004D3B67">
        <w:rPr>
          <w:rFonts w:ascii="Bookman Old Style" w:hAnsi="Bookman Old Style"/>
          <w:sz w:val="24"/>
          <w:szCs w:val="24"/>
        </w:rPr>
        <w:t>d</w:t>
      </w:r>
      <w:r w:rsidR="00BC1A83">
        <w:rPr>
          <w:rFonts w:ascii="Bookman Old Style" w:hAnsi="Bookman Old Style"/>
          <w:sz w:val="24"/>
          <w:szCs w:val="24"/>
        </w:rPr>
        <w:t>el r</w:t>
      </w:r>
      <w:r w:rsidR="00E450B3" w:rsidRPr="004D3B67">
        <w:rPr>
          <w:rFonts w:ascii="Bookman Old Style" w:hAnsi="Bookman Old Style"/>
          <w:sz w:val="24"/>
          <w:szCs w:val="24"/>
        </w:rPr>
        <w:t>ilascio di apposita autorizzazione</w:t>
      </w:r>
      <w:r w:rsidR="0014402C">
        <w:rPr>
          <w:rFonts w:ascii="Bookman Old Style" w:hAnsi="Bookman Old Style"/>
          <w:sz w:val="24"/>
          <w:szCs w:val="24"/>
        </w:rPr>
        <w:t xml:space="preserve"> o di</w:t>
      </w:r>
      <w:r w:rsidR="0014402C" w:rsidRPr="0014402C">
        <w:rPr>
          <w:rFonts w:ascii="Bookman Old Style" w:hAnsi="Bookman Old Style"/>
          <w:sz w:val="24"/>
          <w:szCs w:val="24"/>
        </w:rPr>
        <w:t xml:space="preserve"> </w:t>
      </w:r>
      <w:r w:rsidR="0014402C" w:rsidRPr="004D3B67">
        <w:rPr>
          <w:rFonts w:ascii="Bookman Old Style" w:hAnsi="Bookman Old Style"/>
          <w:sz w:val="24"/>
          <w:szCs w:val="24"/>
        </w:rPr>
        <w:t>inerzia degli uffici preposti</w:t>
      </w:r>
      <w:r w:rsidR="000B17D3">
        <w:rPr>
          <w:rFonts w:ascii="Bookman Old Style" w:hAnsi="Bookman Old Style"/>
          <w:sz w:val="24"/>
          <w:szCs w:val="24"/>
        </w:rPr>
        <w:t xml:space="preserve"> (silenzio/assenso)</w:t>
      </w:r>
      <w:r w:rsidR="00E450B3" w:rsidRPr="004D3B67">
        <w:rPr>
          <w:rFonts w:ascii="Bookman Old Style" w:hAnsi="Bookman Old Style"/>
          <w:sz w:val="24"/>
          <w:szCs w:val="24"/>
        </w:rPr>
        <w:t xml:space="preserve">, dovesse verificarsi </w:t>
      </w:r>
      <w:r w:rsidR="00C90799" w:rsidRPr="004D3B67">
        <w:rPr>
          <w:rFonts w:ascii="Bookman Old Style" w:hAnsi="Bookman Old Style"/>
          <w:sz w:val="24"/>
          <w:szCs w:val="24"/>
        </w:rPr>
        <w:t xml:space="preserve">alcuno dei sintomi </w:t>
      </w:r>
      <w:r w:rsidR="000B17D3">
        <w:rPr>
          <w:rFonts w:ascii="Bookman Old Style" w:hAnsi="Bookman Old Style"/>
          <w:sz w:val="24"/>
          <w:szCs w:val="24"/>
        </w:rPr>
        <w:t xml:space="preserve">patologici sopra </w:t>
      </w:r>
      <w:r w:rsidR="00C90799" w:rsidRPr="004D3B67">
        <w:rPr>
          <w:rFonts w:ascii="Bookman Old Style" w:hAnsi="Bookman Old Style"/>
          <w:sz w:val="24"/>
          <w:szCs w:val="24"/>
        </w:rPr>
        <w:t xml:space="preserve">descritti, tale da presupporre un fondato collegamento tra la esposizione ai campi elettromagnetici e le patologie tipiche della </w:t>
      </w:r>
      <w:proofErr w:type="spellStart"/>
      <w:r w:rsidR="00C90799" w:rsidRPr="004D3B67">
        <w:rPr>
          <w:rFonts w:ascii="Bookman Old Style" w:hAnsi="Bookman Old Style"/>
          <w:sz w:val="24"/>
          <w:szCs w:val="24"/>
        </w:rPr>
        <w:t>elettrosensibilità</w:t>
      </w:r>
      <w:proofErr w:type="spellEnd"/>
      <w:r w:rsidR="00C90799" w:rsidRPr="004D3B67">
        <w:rPr>
          <w:rFonts w:ascii="Bookman Old Style" w:hAnsi="Bookman Old Style"/>
          <w:sz w:val="24"/>
          <w:szCs w:val="24"/>
        </w:rPr>
        <w:t xml:space="preserve"> </w:t>
      </w:r>
      <w:r w:rsidR="00133B3F" w:rsidRPr="00133B3F">
        <w:rPr>
          <w:rFonts w:ascii="Bookman Old Style" w:hAnsi="Bookman Old Style"/>
          <w:b/>
          <w:sz w:val="24"/>
          <w:szCs w:val="24"/>
        </w:rPr>
        <w:t xml:space="preserve">(ALTERNATIVA: </w:t>
      </w:r>
      <w:r w:rsidR="00C90799" w:rsidRPr="00133B3F">
        <w:rPr>
          <w:rFonts w:ascii="Bookman Old Style" w:hAnsi="Bookman Old Style"/>
          <w:b/>
          <w:sz w:val="24"/>
          <w:szCs w:val="24"/>
        </w:rPr>
        <w:t>o</w:t>
      </w:r>
      <w:r w:rsidR="000F3F32" w:rsidRPr="00133B3F">
        <w:rPr>
          <w:rFonts w:ascii="Bookman Old Style" w:hAnsi="Bookman Old Style"/>
          <w:b/>
          <w:sz w:val="24"/>
          <w:szCs w:val="24"/>
        </w:rPr>
        <w:t>,</w:t>
      </w:r>
      <w:r w:rsidR="00C90799" w:rsidRPr="00133B3F">
        <w:rPr>
          <w:rFonts w:ascii="Bookman Old Style" w:hAnsi="Bookman Old Style"/>
          <w:b/>
          <w:sz w:val="24"/>
          <w:szCs w:val="24"/>
        </w:rPr>
        <w:t xml:space="preserve"> ancora</w:t>
      </w:r>
      <w:r w:rsidR="000F3F32" w:rsidRPr="00133B3F">
        <w:rPr>
          <w:rFonts w:ascii="Bookman Old Style" w:hAnsi="Bookman Old Style"/>
          <w:b/>
          <w:sz w:val="24"/>
          <w:szCs w:val="24"/>
        </w:rPr>
        <w:t>,</w:t>
      </w:r>
      <w:r w:rsidR="00C90799" w:rsidRPr="00133B3F">
        <w:rPr>
          <w:rFonts w:ascii="Bookman Old Style" w:hAnsi="Bookman Old Style"/>
          <w:b/>
          <w:sz w:val="24"/>
          <w:szCs w:val="24"/>
        </w:rPr>
        <w:t xml:space="preserve"> </w:t>
      </w:r>
      <w:r w:rsidR="00824D5F" w:rsidRPr="00133B3F">
        <w:rPr>
          <w:rFonts w:ascii="Bookman Old Style" w:hAnsi="Bookman Old Style"/>
          <w:b/>
          <w:sz w:val="24"/>
          <w:szCs w:val="24"/>
        </w:rPr>
        <w:t xml:space="preserve">tale da manifestare </w:t>
      </w:r>
      <w:r w:rsidR="00C90799" w:rsidRPr="00133B3F">
        <w:rPr>
          <w:rFonts w:ascii="Bookman Old Style" w:hAnsi="Bookman Old Style"/>
          <w:b/>
          <w:sz w:val="24"/>
          <w:szCs w:val="24"/>
        </w:rPr>
        <w:t>interferenze con pacemaker o apparecchi elettromedicali</w:t>
      </w:r>
      <w:r w:rsidR="00133B3F" w:rsidRPr="00133B3F">
        <w:rPr>
          <w:rFonts w:ascii="Bookman Old Style" w:hAnsi="Bookman Old Style"/>
          <w:b/>
          <w:sz w:val="24"/>
          <w:szCs w:val="24"/>
        </w:rPr>
        <w:t>)</w:t>
      </w:r>
      <w:r w:rsidR="00C90799" w:rsidRPr="004D3B67">
        <w:rPr>
          <w:rFonts w:ascii="Bookman Old Style" w:hAnsi="Bookman Old Style"/>
          <w:sz w:val="24"/>
          <w:szCs w:val="24"/>
        </w:rPr>
        <w:t xml:space="preserve">, sarà cura del sottoscritto adire le vie legali e procedere alla richiesta giudiziale di risarcimento dei danni ai sensi dell’art. 844 </w:t>
      </w:r>
      <w:r w:rsidR="000F3F32" w:rsidRPr="004D3B67">
        <w:rPr>
          <w:rFonts w:ascii="Bookman Old Style" w:hAnsi="Bookman Old Style"/>
          <w:sz w:val="24"/>
          <w:szCs w:val="24"/>
        </w:rPr>
        <w:t xml:space="preserve">e 2043 </w:t>
      </w:r>
      <w:r w:rsidR="00C90799" w:rsidRPr="004D3B67">
        <w:rPr>
          <w:rFonts w:ascii="Bookman Old Style" w:hAnsi="Bookman Old Style"/>
          <w:sz w:val="24"/>
          <w:szCs w:val="24"/>
        </w:rPr>
        <w:t>cod. civ.</w:t>
      </w:r>
    </w:p>
    <w:p w:rsidR="004D3B67" w:rsidRPr="004D3B67" w:rsidRDefault="004D3B67" w:rsidP="004D3B67">
      <w:pPr>
        <w:pStyle w:val="Paragrafoelenco"/>
        <w:ind w:left="284" w:hanging="284"/>
        <w:jc w:val="both"/>
        <w:rPr>
          <w:rFonts w:ascii="Bookman Old Style" w:hAnsi="Bookman Old Style"/>
          <w:sz w:val="16"/>
          <w:szCs w:val="16"/>
        </w:rPr>
      </w:pPr>
    </w:p>
    <w:p w:rsidR="00971BAD" w:rsidRDefault="000F3F32" w:rsidP="00971BAD">
      <w:pPr>
        <w:pStyle w:val="Paragrafoelenco"/>
        <w:tabs>
          <w:tab w:val="left" w:pos="993"/>
        </w:tabs>
        <w:ind w:left="284"/>
        <w:jc w:val="both"/>
        <w:rPr>
          <w:rFonts w:ascii="Bookman Old Style" w:hAnsi="Bookman Old Style"/>
          <w:sz w:val="24"/>
          <w:szCs w:val="24"/>
        </w:rPr>
      </w:pPr>
      <w:r w:rsidRPr="004D3B67">
        <w:rPr>
          <w:rFonts w:ascii="Bookman Old Style" w:hAnsi="Bookman Old Style"/>
          <w:sz w:val="24"/>
          <w:szCs w:val="24"/>
        </w:rPr>
        <w:t>Inoltre, il/la sottoscritto/a</w:t>
      </w:r>
    </w:p>
    <w:p w:rsidR="00971BAD" w:rsidRPr="00971BAD" w:rsidRDefault="00971BAD" w:rsidP="00971BAD">
      <w:pPr>
        <w:pStyle w:val="Paragrafoelenco"/>
        <w:rPr>
          <w:rFonts w:ascii="Bookman Old Style" w:hAnsi="Bookman Old Style"/>
          <w:sz w:val="24"/>
          <w:szCs w:val="24"/>
        </w:rPr>
      </w:pPr>
    </w:p>
    <w:p w:rsidR="00971BAD" w:rsidRDefault="00971BAD" w:rsidP="00971BAD">
      <w:pPr>
        <w:pStyle w:val="Paragrafoelenco"/>
        <w:tabs>
          <w:tab w:val="left" w:pos="993"/>
        </w:tabs>
        <w:ind w:left="284"/>
        <w:jc w:val="center"/>
        <w:rPr>
          <w:rFonts w:ascii="Bookman Old Style" w:hAnsi="Bookman Old Style"/>
          <w:b/>
          <w:sz w:val="24"/>
          <w:szCs w:val="24"/>
        </w:rPr>
      </w:pPr>
      <w:r w:rsidRPr="00E878D1">
        <w:rPr>
          <w:rFonts w:ascii="Bookman Old Style" w:hAnsi="Bookman Old Style"/>
          <w:b/>
          <w:sz w:val="24"/>
          <w:szCs w:val="24"/>
        </w:rPr>
        <w:t>D</w:t>
      </w:r>
      <w:r w:rsidR="00E878D1">
        <w:rPr>
          <w:rFonts w:ascii="Bookman Old Style" w:hAnsi="Bookman Old Style"/>
          <w:b/>
          <w:sz w:val="24"/>
          <w:szCs w:val="24"/>
        </w:rPr>
        <w:t xml:space="preserve"> </w:t>
      </w:r>
      <w:r w:rsidRPr="00E878D1">
        <w:rPr>
          <w:rFonts w:ascii="Bookman Old Style" w:hAnsi="Bookman Old Style"/>
          <w:b/>
          <w:sz w:val="24"/>
          <w:szCs w:val="24"/>
        </w:rPr>
        <w:t>I</w:t>
      </w:r>
      <w:r w:rsidR="00E878D1">
        <w:rPr>
          <w:rFonts w:ascii="Bookman Old Style" w:hAnsi="Bookman Old Style"/>
          <w:b/>
          <w:sz w:val="24"/>
          <w:szCs w:val="24"/>
        </w:rPr>
        <w:t xml:space="preserve"> </w:t>
      </w:r>
      <w:r w:rsidRPr="00E878D1">
        <w:rPr>
          <w:rFonts w:ascii="Bookman Old Style" w:hAnsi="Bookman Old Style"/>
          <w:b/>
          <w:sz w:val="24"/>
          <w:szCs w:val="24"/>
        </w:rPr>
        <w:t>F</w:t>
      </w:r>
      <w:r w:rsidR="00E878D1">
        <w:rPr>
          <w:rFonts w:ascii="Bookman Old Style" w:hAnsi="Bookman Old Style"/>
          <w:b/>
          <w:sz w:val="24"/>
          <w:szCs w:val="24"/>
        </w:rPr>
        <w:t xml:space="preserve"> </w:t>
      </w:r>
      <w:proofErr w:type="spellStart"/>
      <w:r w:rsidRPr="00E878D1">
        <w:rPr>
          <w:rFonts w:ascii="Bookman Old Style" w:hAnsi="Bookman Old Style"/>
          <w:b/>
          <w:sz w:val="24"/>
          <w:szCs w:val="24"/>
        </w:rPr>
        <w:t>F</w:t>
      </w:r>
      <w:proofErr w:type="spellEnd"/>
      <w:r w:rsidR="00E878D1">
        <w:rPr>
          <w:rFonts w:ascii="Bookman Old Style" w:hAnsi="Bookman Old Style"/>
          <w:b/>
          <w:sz w:val="24"/>
          <w:szCs w:val="24"/>
        </w:rPr>
        <w:t xml:space="preserve"> </w:t>
      </w:r>
      <w:r w:rsidRPr="00E878D1">
        <w:rPr>
          <w:rFonts w:ascii="Bookman Old Style" w:hAnsi="Bookman Old Style"/>
          <w:b/>
          <w:sz w:val="24"/>
          <w:szCs w:val="24"/>
        </w:rPr>
        <w:t>I</w:t>
      </w:r>
      <w:r w:rsidR="00E878D1">
        <w:rPr>
          <w:rFonts w:ascii="Bookman Old Style" w:hAnsi="Bookman Old Style"/>
          <w:b/>
          <w:sz w:val="24"/>
          <w:szCs w:val="24"/>
        </w:rPr>
        <w:t xml:space="preserve"> </w:t>
      </w:r>
      <w:r w:rsidRPr="00E878D1">
        <w:rPr>
          <w:rFonts w:ascii="Bookman Old Style" w:hAnsi="Bookman Old Style"/>
          <w:b/>
          <w:sz w:val="24"/>
          <w:szCs w:val="24"/>
        </w:rPr>
        <w:t>D</w:t>
      </w:r>
      <w:r w:rsidR="00E878D1">
        <w:rPr>
          <w:rFonts w:ascii="Bookman Old Style" w:hAnsi="Bookman Old Style"/>
          <w:b/>
          <w:sz w:val="24"/>
          <w:szCs w:val="24"/>
        </w:rPr>
        <w:t xml:space="preserve"> </w:t>
      </w:r>
      <w:r w:rsidRPr="00E878D1">
        <w:rPr>
          <w:rFonts w:ascii="Bookman Old Style" w:hAnsi="Bookman Old Style"/>
          <w:b/>
          <w:sz w:val="24"/>
          <w:szCs w:val="24"/>
        </w:rPr>
        <w:t>A</w:t>
      </w:r>
    </w:p>
    <w:p w:rsidR="00E878D1" w:rsidRPr="00202B8D" w:rsidRDefault="00E878D1" w:rsidP="00971BAD">
      <w:pPr>
        <w:pStyle w:val="Paragrafoelenco"/>
        <w:tabs>
          <w:tab w:val="left" w:pos="993"/>
        </w:tabs>
        <w:ind w:left="284"/>
        <w:jc w:val="center"/>
        <w:rPr>
          <w:rFonts w:ascii="Bookman Old Style" w:hAnsi="Bookman Old Style"/>
          <w:b/>
          <w:sz w:val="16"/>
          <w:szCs w:val="16"/>
        </w:rPr>
      </w:pPr>
    </w:p>
    <w:p w:rsidR="00D95257" w:rsidRPr="00527275" w:rsidRDefault="00527275" w:rsidP="00133B3F">
      <w:pPr>
        <w:pStyle w:val="Paragrafoelenco"/>
        <w:numPr>
          <w:ilvl w:val="0"/>
          <w:numId w:val="2"/>
        </w:numPr>
        <w:tabs>
          <w:tab w:val="left" w:pos="993"/>
        </w:tabs>
        <w:ind w:left="284" w:hanging="284"/>
        <w:jc w:val="both"/>
        <w:rPr>
          <w:rFonts w:ascii="Bookman Old Style" w:hAnsi="Bookman Old Style"/>
          <w:sz w:val="24"/>
          <w:szCs w:val="24"/>
        </w:rPr>
      </w:pPr>
      <w:r>
        <w:rPr>
          <w:rFonts w:ascii="Bookman Old Style" w:hAnsi="Bookman Old Style"/>
          <w:sz w:val="24"/>
          <w:szCs w:val="24"/>
        </w:rPr>
        <w:t>G</w:t>
      </w:r>
      <w:r w:rsidR="000F3F32" w:rsidRPr="00527275">
        <w:rPr>
          <w:rFonts w:ascii="Bookman Old Style" w:hAnsi="Bookman Old Style"/>
          <w:sz w:val="24"/>
          <w:szCs w:val="24"/>
        </w:rPr>
        <w:t>li uffici</w:t>
      </w:r>
      <w:r w:rsidR="00971BAD" w:rsidRPr="00527275">
        <w:rPr>
          <w:rFonts w:ascii="Bookman Old Style" w:hAnsi="Bookman Old Style"/>
          <w:sz w:val="24"/>
          <w:szCs w:val="24"/>
        </w:rPr>
        <w:t xml:space="preserve"> di codesto Ente,</w:t>
      </w:r>
      <w:r w:rsidR="000F3F32" w:rsidRPr="00527275">
        <w:rPr>
          <w:rFonts w:ascii="Bookman Old Style" w:hAnsi="Bookman Old Style"/>
          <w:sz w:val="24"/>
          <w:szCs w:val="24"/>
        </w:rPr>
        <w:t xml:space="preserve"> preposti al rilascio de</w:t>
      </w:r>
      <w:r w:rsidR="000B17D3" w:rsidRPr="00527275">
        <w:rPr>
          <w:rFonts w:ascii="Bookman Old Style" w:hAnsi="Bookman Old Style"/>
          <w:sz w:val="24"/>
          <w:szCs w:val="24"/>
        </w:rPr>
        <w:t>l</w:t>
      </w:r>
      <w:r w:rsidR="000F3F32" w:rsidRPr="00527275">
        <w:rPr>
          <w:rFonts w:ascii="Bookman Old Style" w:hAnsi="Bookman Old Style"/>
          <w:sz w:val="24"/>
          <w:szCs w:val="24"/>
        </w:rPr>
        <w:t xml:space="preserve"> propedeutic</w:t>
      </w:r>
      <w:r w:rsidR="000B17D3" w:rsidRPr="00527275">
        <w:rPr>
          <w:rFonts w:ascii="Bookman Old Style" w:hAnsi="Bookman Old Style"/>
          <w:sz w:val="24"/>
          <w:szCs w:val="24"/>
        </w:rPr>
        <w:t>o</w:t>
      </w:r>
      <w:r w:rsidR="000F3F32" w:rsidRPr="00527275">
        <w:rPr>
          <w:rFonts w:ascii="Bookman Old Style" w:hAnsi="Bookman Old Style"/>
          <w:sz w:val="24"/>
          <w:szCs w:val="24"/>
        </w:rPr>
        <w:t xml:space="preserve"> nulla osta e/o autorizzazione dell’impianto di telefonia mobile e tecnologie assimilabili</w:t>
      </w:r>
      <w:r w:rsidR="00133B3F" w:rsidRPr="00527275">
        <w:rPr>
          <w:rFonts w:ascii="Bookman Old Style" w:hAnsi="Bookman Old Style"/>
          <w:sz w:val="24"/>
          <w:szCs w:val="24"/>
        </w:rPr>
        <w:t>, dall’autorizzare impianti che possano arrecare un aumento dei sintomi a causa dell’</w:t>
      </w:r>
      <w:r w:rsidR="00EC30CF" w:rsidRPr="00527275">
        <w:rPr>
          <w:rFonts w:ascii="Bookman Old Style" w:hAnsi="Bookman Old Style"/>
          <w:sz w:val="24"/>
          <w:szCs w:val="24"/>
        </w:rPr>
        <w:t>incremento</w:t>
      </w:r>
      <w:r w:rsidR="00133B3F" w:rsidRPr="00527275">
        <w:rPr>
          <w:rFonts w:ascii="Bookman Old Style" w:hAnsi="Bookman Old Style"/>
          <w:sz w:val="24"/>
          <w:szCs w:val="24"/>
        </w:rPr>
        <w:t xml:space="preserve"> del fondo elettromagnetico della zona dove il sottoscritto risiede</w:t>
      </w:r>
      <w:r w:rsidR="00690098">
        <w:rPr>
          <w:rFonts w:ascii="Bookman Old Style" w:hAnsi="Bookman Old Style"/>
          <w:sz w:val="24"/>
          <w:szCs w:val="24"/>
        </w:rPr>
        <w:t>/</w:t>
      </w:r>
      <w:r w:rsidR="00A03B5B" w:rsidRPr="00527275">
        <w:rPr>
          <w:rFonts w:ascii="Bookman Old Style" w:hAnsi="Bookman Old Style"/>
          <w:sz w:val="24"/>
          <w:szCs w:val="24"/>
        </w:rPr>
        <w:t>dimora</w:t>
      </w:r>
      <w:r w:rsidR="00133B3F" w:rsidRPr="00527275">
        <w:rPr>
          <w:rFonts w:ascii="Bookman Old Style" w:hAnsi="Bookman Old Style"/>
          <w:sz w:val="24"/>
          <w:szCs w:val="24"/>
        </w:rPr>
        <w:t xml:space="preserve">/è domiciliato, e, in caso venga richiesta </w:t>
      </w:r>
      <w:r w:rsidR="00EC30CF" w:rsidRPr="00527275">
        <w:rPr>
          <w:rFonts w:ascii="Bookman Old Style" w:hAnsi="Bookman Old Style"/>
          <w:sz w:val="24"/>
          <w:szCs w:val="24"/>
        </w:rPr>
        <w:t>la</w:t>
      </w:r>
      <w:r w:rsidR="00133B3F" w:rsidRPr="00527275">
        <w:rPr>
          <w:rFonts w:ascii="Bookman Old Style" w:hAnsi="Bookman Old Style"/>
          <w:sz w:val="24"/>
          <w:szCs w:val="24"/>
        </w:rPr>
        <w:t xml:space="preserve"> autorizzazione di nuovi impianti</w:t>
      </w:r>
      <w:r w:rsidR="00EC30CF" w:rsidRPr="00527275">
        <w:rPr>
          <w:rFonts w:ascii="Bookman Old Style" w:hAnsi="Bookman Old Style"/>
          <w:sz w:val="24"/>
          <w:szCs w:val="24"/>
        </w:rPr>
        <w:t>,</w:t>
      </w:r>
      <w:r w:rsidR="00133B3F" w:rsidRPr="00527275">
        <w:rPr>
          <w:rFonts w:ascii="Bookman Old Style" w:hAnsi="Bookman Old Style"/>
          <w:sz w:val="24"/>
          <w:szCs w:val="24"/>
        </w:rPr>
        <w:t xml:space="preserve"> si diffida dal farlo senza prima </w:t>
      </w:r>
      <w:r w:rsidR="00133B3F" w:rsidRPr="00527275">
        <w:rPr>
          <w:rFonts w:ascii="Bookman Old Style" w:hAnsi="Bookman Old Style"/>
          <w:sz w:val="24"/>
          <w:szCs w:val="24"/>
          <w:u w:val="single"/>
        </w:rPr>
        <w:t>rilasciare un’idonea relazione</w:t>
      </w:r>
      <w:r w:rsidR="00133B3F" w:rsidRPr="00527275">
        <w:rPr>
          <w:rFonts w:ascii="Bookman Old Style" w:hAnsi="Bookman Old Style"/>
          <w:sz w:val="24"/>
          <w:szCs w:val="24"/>
        </w:rPr>
        <w:t xml:space="preserve"> scritta da sottoporre alla ASL di competenza</w:t>
      </w:r>
      <w:r w:rsidR="00EC30CF" w:rsidRPr="00527275">
        <w:rPr>
          <w:rFonts w:ascii="Bookman Old Style" w:hAnsi="Bookman Old Style"/>
          <w:sz w:val="24"/>
          <w:szCs w:val="24"/>
        </w:rPr>
        <w:t>,</w:t>
      </w:r>
      <w:r w:rsidR="00133B3F" w:rsidRPr="00527275">
        <w:rPr>
          <w:rFonts w:ascii="Bookman Old Style" w:hAnsi="Bookman Old Style"/>
          <w:sz w:val="24"/>
          <w:szCs w:val="24"/>
        </w:rPr>
        <w:t xml:space="preserve"> che attesti la totale sicurezza delle radiazioni emesse per </w:t>
      </w:r>
      <w:r w:rsidR="009D348F" w:rsidRPr="00527275">
        <w:rPr>
          <w:rFonts w:ascii="Bookman Old Style" w:hAnsi="Bookman Old Style"/>
          <w:sz w:val="24"/>
          <w:szCs w:val="24"/>
        </w:rPr>
        <w:t>l</w:t>
      </w:r>
      <w:r w:rsidR="00133B3F" w:rsidRPr="00527275">
        <w:rPr>
          <w:rFonts w:ascii="Bookman Old Style" w:hAnsi="Bookman Old Style"/>
          <w:sz w:val="24"/>
          <w:szCs w:val="24"/>
        </w:rPr>
        <w:t xml:space="preserve">e condizioni particolari di </w:t>
      </w:r>
      <w:r w:rsidR="009D348F" w:rsidRPr="00527275">
        <w:rPr>
          <w:rFonts w:ascii="Bookman Old Style" w:hAnsi="Bookman Old Style"/>
          <w:sz w:val="24"/>
          <w:szCs w:val="24"/>
        </w:rPr>
        <w:t xml:space="preserve">salute </w:t>
      </w:r>
      <w:r w:rsidR="00133B3F" w:rsidRPr="00527275">
        <w:rPr>
          <w:rFonts w:ascii="Bookman Old Style" w:hAnsi="Bookman Old Style"/>
          <w:sz w:val="24"/>
          <w:szCs w:val="24"/>
        </w:rPr>
        <w:t xml:space="preserve">del sottoscritto e, più in generale, che </w:t>
      </w:r>
      <w:r w:rsidR="003B62C6">
        <w:rPr>
          <w:rFonts w:ascii="Bookman Old Style" w:hAnsi="Bookman Old Style"/>
          <w:sz w:val="24"/>
          <w:szCs w:val="24"/>
        </w:rPr>
        <w:t xml:space="preserve">certifichi </w:t>
      </w:r>
      <w:r w:rsidR="00133B3F" w:rsidRPr="00527275">
        <w:rPr>
          <w:rFonts w:ascii="Bookman Old Style" w:hAnsi="Bookman Old Style"/>
          <w:sz w:val="24"/>
          <w:szCs w:val="24"/>
        </w:rPr>
        <w:t xml:space="preserve">l’assenza </w:t>
      </w:r>
      <w:r w:rsidR="003B62C6">
        <w:rPr>
          <w:rFonts w:ascii="Bookman Old Style" w:hAnsi="Bookman Old Style"/>
          <w:sz w:val="24"/>
          <w:szCs w:val="24"/>
        </w:rPr>
        <w:t xml:space="preserve">assoluta </w:t>
      </w:r>
      <w:r w:rsidR="00133B3F" w:rsidRPr="00527275">
        <w:rPr>
          <w:rFonts w:ascii="Bookman Old Style" w:hAnsi="Bookman Old Style"/>
          <w:sz w:val="24"/>
          <w:szCs w:val="24"/>
        </w:rPr>
        <w:t xml:space="preserve">di </w:t>
      </w:r>
      <w:r w:rsidR="009D348F" w:rsidRPr="00527275">
        <w:rPr>
          <w:rFonts w:ascii="Bookman Old Style" w:hAnsi="Bookman Old Style"/>
          <w:sz w:val="24"/>
          <w:szCs w:val="24"/>
        </w:rPr>
        <w:t>effetti</w:t>
      </w:r>
      <w:r w:rsidR="003B62C6">
        <w:rPr>
          <w:rFonts w:ascii="Bookman Old Style" w:hAnsi="Bookman Old Style"/>
          <w:sz w:val="24"/>
          <w:szCs w:val="24"/>
        </w:rPr>
        <w:t xml:space="preserve"> </w:t>
      </w:r>
      <w:r w:rsidR="00133B3F" w:rsidRPr="00527275">
        <w:rPr>
          <w:rFonts w:ascii="Bookman Old Style" w:hAnsi="Bookman Old Style"/>
          <w:sz w:val="24"/>
          <w:szCs w:val="24"/>
        </w:rPr>
        <w:t xml:space="preserve">avversi per l’integrità fisica, </w:t>
      </w:r>
      <w:r w:rsidR="00180BE0" w:rsidRPr="00527275">
        <w:rPr>
          <w:rFonts w:ascii="Bookman Old Style" w:hAnsi="Bookman Old Style"/>
          <w:sz w:val="24"/>
          <w:szCs w:val="24"/>
        </w:rPr>
        <w:t xml:space="preserve">psichica </w:t>
      </w:r>
      <w:r w:rsidR="00133B3F" w:rsidRPr="00527275">
        <w:rPr>
          <w:rFonts w:ascii="Bookman Old Style" w:hAnsi="Bookman Old Style"/>
          <w:sz w:val="24"/>
          <w:szCs w:val="24"/>
        </w:rPr>
        <w:t>e per il benessere del sottoscritto</w:t>
      </w:r>
      <w:r w:rsidR="003B62C6" w:rsidRPr="00527275">
        <w:rPr>
          <w:rFonts w:ascii="Bookman Old Style" w:hAnsi="Bookman Old Style"/>
          <w:sz w:val="24"/>
          <w:szCs w:val="24"/>
        </w:rPr>
        <w:t>, anche a medio/lungo termine</w:t>
      </w:r>
      <w:r w:rsidR="00180BE0" w:rsidRPr="00527275">
        <w:rPr>
          <w:rFonts w:ascii="Bookman Old Style" w:hAnsi="Bookman Old Style"/>
          <w:sz w:val="24"/>
          <w:szCs w:val="24"/>
        </w:rPr>
        <w:t>.</w:t>
      </w:r>
    </w:p>
    <w:p w:rsidR="00426251" w:rsidRDefault="00426251" w:rsidP="00426251">
      <w:pPr>
        <w:tabs>
          <w:tab w:val="left" w:pos="993"/>
        </w:tabs>
        <w:jc w:val="both"/>
        <w:rPr>
          <w:rFonts w:ascii="Bookman Old Style" w:hAnsi="Bookman Old Style"/>
          <w:sz w:val="24"/>
          <w:szCs w:val="24"/>
        </w:rPr>
      </w:pPr>
    </w:p>
    <w:p w:rsidR="00426251" w:rsidRDefault="00426251" w:rsidP="00426251">
      <w:pPr>
        <w:tabs>
          <w:tab w:val="left" w:pos="993"/>
        </w:tabs>
        <w:jc w:val="both"/>
        <w:rPr>
          <w:rFonts w:ascii="Bookman Old Style" w:hAnsi="Bookman Old Style"/>
          <w:sz w:val="24"/>
          <w:szCs w:val="24"/>
        </w:rPr>
      </w:pPr>
      <w:r>
        <w:rPr>
          <w:rFonts w:ascii="Bookman Old Style" w:hAnsi="Bookman Old Style"/>
          <w:sz w:val="24"/>
          <w:szCs w:val="24"/>
        </w:rPr>
        <w:tab/>
        <w:t>DATA</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FIRMA</w:t>
      </w:r>
    </w:p>
    <w:p w:rsidR="00426251" w:rsidRDefault="00426251" w:rsidP="00426251">
      <w:pPr>
        <w:tabs>
          <w:tab w:val="left" w:pos="993"/>
        </w:tabs>
        <w:jc w:val="both"/>
        <w:rPr>
          <w:rFonts w:ascii="Bookman Old Style" w:hAnsi="Bookman Old Style"/>
          <w:sz w:val="24"/>
          <w:szCs w:val="24"/>
        </w:rPr>
      </w:pPr>
    </w:p>
    <w:p w:rsidR="00426251" w:rsidRPr="00426251" w:rsidRDefault="00426251" w:rsidP="00426251">
      <w:pPr>
        <w:tabs>
          <w:tab w:val="left" w:pos="993"/>
        </w:tabs>
        <w:jc w:val="both"/>
        <w:rPr>
          <w:rFonts w:ascii="Bookman Old Style" w:hAnsi="Bookman Old Style"/>
          <w:sz w:val="24"/>
          <w:szCs w:val="24"/>
        </w:rPr>
      </w:pPr>
      <w:r>
        <w:rPr>
          <w:rFonts w:ascii="Bookman Old Style" w:hAnsi="Bookman Old Style"/>
          <w:sz w:val="24"/>
          <w:szCs w:val="24"/>
        </w:rPr>
        <w:t>________________________</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________________________________</w:t>
      </w:r>
    </w:p>
    <w:sectPr w:rsidR="00426251" w:rsidRPr="00426251" w:rsidSect="00312D9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67B" w:rsidRDefault="0075667B" w:rsidP="001352BD">
      <w:pPr>
        <w:spacing w:after="0" w:line="240" w:lineRule="auto"/>
      </w:pPr>
      <w:r>
        <w:separator/>
      </w:r>
    </w:p>
  </w:endnote>
  <w:endnote w:type="continuationSeparator" w:id="0">
    <w:p w:rsidR="0075667B" w:rsidRDefault="0075667B" w:rsidP="00135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67B" w:rsidRDefault="0075667B" w:rsidP="001352BD">
      <w:pPr>
        <w:spacing w:after="0" w:line="240" w:lineRule="auto"/>
      </w:pPr>
      <w:r>
        <w:separator/>
      </w:r>
    </w:p>
  </w:footnote>
  <w:footnote w:type="continuationSeparator" w:id="0">
    <w:p w:rsidR="0075667B" w:rsidRDefault="0075667B" w:rsidP="001352BD">
      <w:pPr>
        <w:spacing w:after="0" w:line="240" w:lineRule="auto"/>
      </w:pPr>
      <w:r>
        <w:continuationSeparator/>
      </w:r>
    </w:p>
  </w:footnote>
  <w:footnote w:id="1">
    <w:p w:rsidR="001352BD" w:rsidRDefault="001352BD" w:rsidP="00DB65EE">
      <w:pPr>
        <w:pStyle w:val="Testonotaapidipagina"/>
        <w:jc w:val="both"/>
      </w:pPr>
      <w:r>
        <w:rPr>
          <w:rStyle w:val="Rimandonotaapidipagina"/>
        </w:rPr>
        <w:footnoteRef/>
      </w:r>
      <w:r>
        <w:t xml:space="preserve"> </w:t>
      </w:r>
      <w:r w:rsidRPr="001352BD">
        <w:t xml:space="preserve">De Luca C </w:t>
      </w:r>
      <w:proofErr w:type="spellStart"/>
      <w:r w:rsidRPr="001352BD">
        <w:t>et</w:t>
      </w:r>
      <w:proofErr w:type="spellEnd"/>
      <w:r w:rsidRPr="001352BD">
        <w:t xml:space="preserve"> al, </w:t>
      </w:r>
      <w:proofErr w:type="spellStart"/>
      <w:r w:rsidRPr="001352BD">
        <w:t>Metabolic</w:t>
      </w:r>
      <w:proofErr w:type="spellEnd"/>
      <w:r w:rsidRPr="001352BD">
        <w:t xml:space="preserve"> and </w:t>
      </w:r>
      <w:proofErr w:type="spellStart"/>
      <w:r w:rsidRPr="001352BD">
        <w:t>genetic</w:t>
      </w:r>
      <w:proofErr w:type="spellEnd"/>
      <w:r w:rsidRPr="001352BD">
        <w:t xml:space="preserve"> screening </w:t>
      </w:r>
      <w:proofErr w:type="spellStart"/>
      <w:r w:rsidRPr="001352BD">
        <w:t>of</w:t>
      </w:r>
      <w:proofErr w:type="spellEnd"/>
      <w:r w:rsidRPr="001352BD">
        <w:t xml:space="preserve"> </w:t>
      </w:r>
      <w:proofErr w:type="spellStart"/>
      <w:r w:rsidRPr="001352BD">
        <w:t>electromagnetic</w:t>
      </w:r>
      <w:proofErr w:type="spellEnd"/>
      <w:r w:rsidRPr="001352BD">
        <w:t xml:space="preserve"> </w:t>
      </w:r>
      <w:proofErr w:type="spellStart"/>
      <w:r w:rsidRPr="001352BD">
        <w:t>hypersensitive</w:t>
      </w:r>
      <w:proofErr w:type="spellEnd"/>
      <w:r w:rsidRPr="001352BD">
        <w:t xml:space="preserve"> </w:t>
      </w:r>
      <w:proofErr w:type="spellStart"/>
      <w:r w:rsidRPr="001352BD">
        <w:t>subjects</w:t>
      </w:r>
      <w:proofErr w:type="spellEnd"/>
      <w:r w:rsidRPr="001352BD">
        <w:t xml:space="preserve"> </w:t>
      </w:r>
      <w:proofErr w:type="spellStart"/>
      <w:r w:rsidRPr="001352BD">
        <w:t>as</w:t>
      </w:r>
      <w:proofErr w:type="spellEnd"/>
      <w:r w:rsidRPr="001352BD">
        <w:t xml:space="preserve"> a </w:t>
      </w:r>
      <w:proofErr w:type="spellStart"/>
      <w:r w:rsidRPr="001352BD">
        <w:t>feasible</w:t>
      </w:r>
      <w:proofErr w:type="spellEnd"/>
      <w:r w:rsidRPr="001352BD">
        <w:t xml:space="preserve"> </w:t>
      </w:r>
      <w:proofErr w:type="spellStart"/>
      <w:r w:rsidRPr="001352BD">
        <w:t>tool</w:t>
      </w:r>
      <w:proofErr w:type="spellEnd"/>
      <w:r w:rsidRPr="001352BD">
        <w:t xml:space="preserve"> </w:t>
      </w:r>
      <w:proofErr w:type="spellStart"/>
      <w:r w:rsidRPr="001352BD">
        <w:t>for</w:t>
      </w:r>
      <w:proofErr w:type="spellEnd"/>
      <w:r w:rsidRPr="001352BD">
        <w:t xml:space="preserve"> </w:t>
      </w:r>
      <w:proofErr w:type="spellStart"/>
      <w:r w:rsidRPr="001352BD">
        <w:t>diagnostics</w:t>
      </w:r>
      <w:proofErr w:type="spellEnd"/>
      <w:r w:rsidRPr="001352BD">
        <w:t xml:space="preserve"> and </w:t>
      </w:r>
      <w:proofErr w:type="spellStart"/>
      <w:r w:rsidRPr="001352BD">
        <w:t>intervention</w:t>
      </w:r>
      <w:proofErr w:type="spellEnd"/>
      <w:r w:rsidRPr="001352BD">
        <w:t xml:space="preserve">, </w:t>
      </w:r>
      <w:proofErr w:type="spellStart"/>
      <w:r w:rsidRPr="001352BD">
        <w:t>Mediators</w:t>
      </w:r>
      <w:proofErr w:type="spellEnd"/>
      <w:r w:rsidRPr="001352BD">
        <w:t xml:space="preserve"> </w:t>
      </w:r>
      <w:proofErr w:type="spellStart"/>
      <w:r w:rsidRPr="001352BD">
        <w:t>Inflamm</w:t>
      </w:r>
      <w:proofErr w:type="spellEnd"/>
      <w:r w:rsidRPr="001352BD">
        <w:t xml:space="preserve">. 2014;2014:924184. </w:t>
      </w:r>
      <w:proofErr w:type="spellStart"/>
      <w:r w:rsidRPr="001352BD">
        <w:t>doi</w:t>
      </w:r>
      <w:proofErr w:type="spellEnd"/>
      <w:r w:rsidRPr="001352BD">
        <w:t xml:space="preserve">: 10.1155/2014/924184. </w:t>
      </w:r>
      <w:proofErr w:type="spellStart"/>
      <w:r w:rsidRPr="001352BD">
        <w:t>Epub</w:t>
      </w:r>
      <w:proofErr w:type="spellEnd"/>
      <w:r w:rsidRPr="001352BD">
        <w:t xml:space="preserve"> 2014 </w:t>
      </w:r>
      <w:proofErr w:type="spellStart"/>
      <w:r w:rsidRPr="001352BD">
        <w:t>Apr</w:t>
      </w:r>
      <w:proofErr w:type="spellEnd"/>
      <w:r w:rsidRPr="001352BD">
        <w:t xml:space="preserve"> 9.</w:t>
      </w:r>
    </w:p>
  </w:footnote>
  <w:footnote w:id="2">
    <w:p w:rsidR="001352BD" w:rsidRPr="00133B3F" w:rsidRDefault="001352BD" w:rsidP="00DB65EE">
      <w:pPr>
        <w:pStyle w:val="Testonotaapidipagina"/>
        <w:jc w:val="both"/>
        <w:rPr>
          <w:rFonts w:cstheme="minorHAnsi"/>
        </w:rPr>
      </w:pPr>
      <w:r>
        <w:rPr>
          <w:rStyle w:val="Rimandonotaapidipagina"/>
        </w:rPr>
        <w:footnoteRef/>
      </w:r>
      <w:r>
        <w:t xml:space="preserve"> </w:t>
      </w:r>
      <w:proofErr w:type="spellStart"/>
      <w:r w:rsidRPr="001352BD">
        <w:t>Irigaray</w:t>
      </w:r>
      <w:proofErr w:type="spellEnd"/>
      <w:r w:rsidRPr="001352BD">
        <w:t xml:space="preserve"> P, </w:t>
      </w:r>
      <w:proofErr w:type="spellStart"/>
      <w:r w:rsidRPr="001352BD">
        <w:t>Caccamo</w:t>
      </w:r>
      <w:proofErr w:type="spellEnd"/>
      <w:r w:rsidRPr="001352BD">
        <w:t xml:space="preserve"> D, </w:t>
      </w:r>
      <w:proofErr w:type="spellStart"/>
      <w:r w:rsidRPr="001352BD">
        <w:t>Belpomme</w:t>
      </w:r>
      <w:proofErr w:type="spellEnd"/>
      <w:r w:rsidRPr="001352BD">
        <w:t xml:space="preserve"> D. 2018 </w:t>
      </w:r>
      <w:proofErr w:type="spellStart"/>
      <w:r w:rsidRPr="001352BD">
        <w:t>Oxidative</w:t>
      </w:r>
      <w:proofErr w:type="spellEnd"/>
      <w:r w:rsidRPr="001352BD">
        <w:t xml:space="preserve"> stress in </w:t>
      </w:r>
      <w:proofErr w:type="spellStart"/>
      <w:r w:rsidRPr="001352BD">
        <w:t>electrohypersensitivity</w:t>
      </w:r>
      <w:proofErr w:type="spellEnd"/>
      <w:r w:rsidRPr="001352BD">
        <w:t xml:space="preserve"> </w:t>
      </w:r>
      <w:proofErr w:type="spellStart"/>
      <w:r w:rsidRPr="001352BD">
        <w:t>selfreporting</w:t>
      </w:r>
      <w:proofErr w:type="spellEnd"/>
      <w:r w:rsidRPr="001352BD">
        <w:t xml:space="preserve"> </w:t>
      </w:r>
      <w:proofErr w:type="spellStart"/>
      <w:r w:rsidRPr="001352BD">
        <w:t>patients</w:t>
      </w:r>
      <w:proofErr w:type="spellEnd"/>
      <w:r w:rsidRPr="001352BD">
        <w:t xml:space="preserve">: </w:t>
      </w:r>
      <w:proofErr w:type="spellStart"/>
      <w:r w:rsidRPr="001352BD">
        <w:t>Results</w:t>
      </w:r>
      <w:proofErr w:type="spellEnd"/>
      <w:r w:rsidRPr="001352BD">
        <w:t xml:space="preserve"> </w:t>
      </w:r>
      <w:proofErr w:type="spellStart"/>
      <w:r w:rsidRPr="001352BD">
        <w:t>of</w:t>
      </w:r>
      <w:proofErr w:type="spellEnd"/>
      <w:r w:rsidRPr="001352BD">
        <w:t xml:space="preserve"> a </w:t>
      </w:r>
      <w:proofErr w:type="spellStart"/>
      <w:r w:rsidRPr="001352BD">
        <w:t>prospective</w:t>
      </w:r>
      <w:proofErr w:type="spellEnd"/>
      <w:r w:rsidRPr="001352BD">
        <w:t xml:space="preserve"> in vivo </w:t>
      </w:r>
      <w:proofErr w:type="spellStart"/>
      <w:r w:rsidRPr="001352BD">
        <w:t>investigation</w:t>
      </w:r>
      <w:proofErr w:type="spellEnd"/>
      <w:r w:rsidRPr="001352BD">
        <w:t xml:space="preserve"> </w:t>
      </w:r>
      <w:proofErr w:type="spellStart"/>
      <w:r w:rsidRPr="001352BD">
        <w:t>with</w:t>
      </w:r>
      <w:proofErr w:type="spellEnd"/>
      <w:r w:rsidRPr="001352BD">
        <w:t xml:space="preserve"> </w:t>
      </w:r>
      <w:proofErr w:type="spellStart"/>
      <w:r w:rsidRPr="001352BD">
        <w:t>comprehensive</w:t>
      </w:r>
      <w:proofErr w:type="spellEnd"/>
      <w:r w:rsidRPr="001352BD">
        <w:t xml:space="preserve"> </w:t>
      </w:r>
      <w:proofErr w:type="spellStart"/>
      <w:r w:rsidRPr="001352BD">
        <w:t>molecular</w:t>
      </w:r>
      <w:proofErr w:type="spellEnd"/>
      <w:r w:rsidRPr="001352BD">
        <w:t xml:space="preserve"> </w:t>
      </w:r>
      <w:proofErr w:type="spellStart"/>
      <w:r w:rsidRPr="001352BD">
        <w:t>analysis</w:t>
      </w:r>
      <w:proofErr w:type="spellEnd"/>
      <w:r w:rsidRPr="001352BD">
        <w:t xml:space="preserve">. </w:t>
      </w:r>
      <w:proofErr w:type="spellStart"/>
      <w:r w:rsidRPr="001352BD">
        <w:t>Int</w:t>
      </w:r>
      <w:proofErr w:type="spellEnd"/>
      <w:r w:rsidRPr="001352BD">
        <w:t xml:space="preserve"> J </w:t>
      </w:r>
      <w:proofErr w:type="spellStart"/>
      <w:r w:rsidRPr="001352BD">
        <w:t>Mol</w:t>
      </w:r>
      <w:proofErr w:type="spellEnd"/>
      <w:r w:rsidRPr="001352BD">
        <w:t xml:space="preserve"> </w:t>
      </w:r>
      <w:proofErr w:type="spellStart"/>
      <w:r w:rsidRPr="001352BD">
        <w:t>Med</w:t>
      </w:r>
      <w:proofErr w:type="spellEnd"/>
      <w:r w:rsidRPr="001352BD">
        <w:t xml:space="preserve">. 2018 </w:t>
      </w:r>
      <w:proofErr w:type="spellStart"/>
      <w:r w:rsidRPr="001352BD">
        <w:t>Oct</w:t>
      </w:r>
      <w:proofErr w:type="spellEnd"/>
      <w:r w:rsidRPr="001352BD">
        <w:t xml:space="preserve">;42(4):1885-1898. </w:t>
      </w:r>
      <w:proofErr w:type="spellStart"/>
      <w:r w:rsidRPr="001352BD">
        <w:t>doi</w:t>
      </w:r>
      <w:proofErr w:type="spellEnd"/>
      <w:r w:rsidRPr="001352BD">
        <w:t>: 10.3892/</w:t>
      </w:r>
      <w:proofErr w:type="spellStart"/>
      <w:r w:rsidRPr="001352BD">
        <w:t>ijmm</w:t>
      </w:r>
      <w:proofErr w:type="spellEnd"/>
      <w:r w:rsidRPr="00133B3F">
        <w:rPr>
          <w:rFonts w:cstheme="minorHAnsi"/>
        </w:rPr>
        <w:t>.2018.3774.</w:t>
      </w:r>
    </w:p>
  </w:footnote>
  <w:footnote w:id="3">
    <w:p w:rsidR="001352BD" w:rsidRPr="00133B3F" w:rsidRDefault="001352BD" w:rsidP="00DB65EE">
      <w:pPr>
        <w:pStyle w:val="Testonotaapidipagina"/>
        <w:jc w:val="both"/>
        <w:rPr>
          <w:rFonts w:cstheme="minorHAnsi"/>
        </w:rPr>
      </w:pPr>
      <w:r w:rsidRPr="00133B3F">
        <w:rPr>
          <w:rStyle w:val="Rimandonotaapidipagina"/>
          <w:rFonts w:cstheme="minorHAnsi"/>
          <w:vertAlign w:val="baseline"/>
        </w:rPr>
        <w:footnoteRef/>
      </w:r>
      <w:r w:rsidRPr="00133B3F">
        <w:rPr>
          <w:rFonts w:cstheme="minorHAnsi"/>
        </w:rPr>
        <w:t xml:space="preserve"> Rea WJ, </w:t>
      </w:r>
      <w:proofErr w:type="spellStart"/>
      <w:r w:rsidRPr="00133B3F">
        <w:rPr>
          <w:rFonts w:cstheme="minorHAnsi"/>
        </w:rPr>
        <w:t>et</w:t>
      </w:r>
      <w:proofErr w:type="spellEnd"/>
      <w:r w:rsidRPr="00133B3F">
        <w:rPr>
          <w:rFonts w:cstheme="minorHAnsi"/>
        </w:rPr>
        <w:t xml:space="preserve"> al. </w:t>
      </w:r>
      <w:proofErr w:type="spellStart"/>
      <w:r w:rsidRPr="00133B3F">
        <w:rPr>
          <w:rFonts w:cstheme="minorHAnsi"/>
        </w:rPr>
        <w:t>Electromagnetic</w:t>
      </w:r>
      <w:proofErr w:type="spellEnd"/>
      <w:r w:rsidRPr="00133B3F">
        <w:rPr>
          <w:rFonts w:cstheme="minorHAnsi"/>
        </w:rPr>
        <w:t xml:space="preserve"> </w:t>
      </w:r>
      <w:proofErr w:type="spellStart"/>
      <w:r w:rsidRPr="00133B3F">
        <w:rPr>
          <w:rFonts w:cstheme="minorHAnsi"/>
        </w:rPr>
        <w:t>field</w:t>
      </w:r>
      <w:proofErr w:type="spellEnd"/>
      <w:r w:rsidRPr="00133B3F">
        <w:rPr>
          <w:rFonts w:cstheme="minorHAnsi"/>
        </w:rPr>
        <w:t xml:space="preserve"> </w:t>
      </w:r>
      <w:proofErr w:type="spellStart"/>
      <w:r w:rsidRPr="00133B3F">
        <w:rPr>
          <w:rFonts w:cstheme="minorHAnsi"/>
        </w:rPr>
        <w:t>sensitivity</w:t>
      </w:r>
      <w:proofErr w:type="spellEnd"/>
      <w:r w:rsidRPr="00133B3F">
        <w:rPr>
          <w:rFonts w:cstheme="minorHAnsi"/>
        </w:rPr>
        <w:t xml:space="preserve">. J </w:t>
      </w:r>
      <w:proofErr w:type="spellStart"/>
      <w:r w:rsidRPr="00133B3F">
        <w:rPr>
          <w:rFonts w:cstheme="minorHAnsi"/>
        </w:rPr>
        <w:t>Bioelectricity</w:t>
      </w:r>
      <w:proofErr w:type="spellEnd"/>
      <w:r w:rsidRPr="00133B3F">
        <w:rPr>
          <w:rFonts w:cstheme="minorHAnsi"/>
        </w:rPr>
        <w:t xml:space="preserve"> 1991;10:241–56.</w:t>
      </w:r>
    </w:p>
  </w:footnote>
  <w:footnote w:id="4">
    <w:p w:rsidR="001352BD" w:rsidRPr="00133B3F" w:rsidRDefault="001352BD" w:rsidP="00DB65EE">
      <w:pPr>
        <w:pStyle w:val="Testonotaapidipagina"/>
        <w:jc w:val="both"/>
        <w:rPr>
          <w:rFonts w:cstheme="minorHAnsi"/>
        </w:rPr>
      </w:pPr>
      <w:r w:rsidRPr="00133B3F">
        <w:rPr>
          <w:rStyle w:val="Rimandonotaapidipagina"/>
          <w:rFonts w:cstheme="minorHAnsi"/>
          <w:vertAlign w:val="baseline"/>
        </w:rPr>
        <w:footnoteRef/>
      </w:r>
      <w:r w:rsidRPr="00133B3F">
        <w:rPr>
          <w:rFonts w:cstheme="minorHAnsi"/>
        </w:rPr>
        <w:t xml:space="preserve"> </w:t>
      </w:r>
      <w:proofErr w:type="spellStart"/>
      <w:r w:rsidRPr="00133B3F">
        <w:rPr>
          <w:rFonts w:cstheme="minorHAnsi"/>
        </w:rPr>
        <w:t>Heuser</w:t>
      </w:r>
      <w:proofErr w:type="spellEnd"/>
      <w:r w:rsidRPr="00133B3F">
        <w:rPr>
          <w:rFonts w:cstheme="minorHAnsi"/>
        </w:rPr>
        <w:t xml:space="preserve"> G, </w:t>
      </w:r>
      <w:proofErr w:type="spellStart"/>
      <w:r w:rsidRPr="00133B3F">
        <w:rPr>
          <w:rFonts w:cstheme="minorHAnsi"/>
        </w:rPr>
        <w:t>Heuser</w:t>
      </w:r>
      <w:proofErr w:type="spellEnd"/>
      <w:r w:rsidRPr="00133B3F">
        <w:rPr>
          <w:rFonts w:cstheme="minorHAnsi"/>
        </w:rPr>
        <w:t xml:space="preserve"> SA. 2017 </w:t>
      </w:r>
      <w:proofErr w:type="spellStart"/>
      <w:r w:rsidRPr="00133B3F">
        <w:rPr>
          <w:rFonts w:cstheme="minorHAnsi"/>
        </w:rPr>
        <w:t>Functional</w:t>
      </w:r>
      <w:proofErr w:type="spellEnd"/>
      <w:r w:rsidRPr="00133B3F">
        <w:rPr>
          <w:rFonts w:cstheme="minorHAnsi"/>
        </w:rPr>
        <w:t xml:space="preserve"> </w:t>
      </w:r>
      <w:proofErr w:type="spellStart"/>
      <w:r w:rsidRPr="00133B3F">
        <w:rPr>
          <w:rFonts w:cstheme="minorHAnsi"/>
        </w:rPr>
        <w:t>brain</w:t>
      </w:r>
      <w:proofErr w:type="spellEnd"/>
      <w:r w:rsidRPr="00133B3F">
        <w:rPr>
          <w:rFonts w:cstheme="minorHAnsi"/>
        </w:rPr>
        <w:t xml:space="preserve"> MRI in </w:t>
      </w:r>
      <w:proofErr w:type="spellStart"/>
      <w:r w:rsidRPr="00133B3F">
        <w:rPr>
          <w:rFonts w:cstheme="minorHAnsi"/>
        </w:rPr>
        <w:t>patients</w:t>
      </w:r>
      <w:proofErr w:type="spellEnd"/>
      <w:r w:rsidRPr="00133B3F">
        <w:rPr>
          <w:rFonts w:cstheme="minorHAnsi"/>
        </w:rPr>
        <w:t xml:space="preserve"> </w:t>
      </w:r>
      <w:proofErr w:type="spellStart"/>
      <w:r w:rsidRPr="00133B3F">
        <w:rPr>
          <w:rFonts w:cstheme="minorHAnsi"/>
        </w:rPr>
        <w:t>complaining</w:t>
      </w:r>
      <w:proofErr w:type="spellEnd"/>
      <w:r w:rsidRPr="00133B3F">
        <w:rPr>
          <w:rFonts w:cstheme="minorHAnsi"/>
        </w:rPr>
        <w:t xml:space="preserve"> </w:t>
      </w:r>
      <w:proofErr w:type="spellStart"/>
      <w:r w:rsidRPr="00133B3F">
        <w:rPr>
          <w:rFonts w:cstheme="minorHAnsi"/>
        </w:rPr>
        <w:t>of</w:t>
      </w:r>
      <w:proofErr w:type="spellEnd"/>
      <w:r w:rsidRPr="00133B3F">
        <w:rPr>
          <w:rFonts w:cstheme="minorHAnsi"/>
        </w:rPr>
        <w:t xml:space="preserve"> </w:t>
      </w:r>
      <w:proofErr w:type="spellStart"/>
      <w:r w:rsidRPr="00133B3F">
        <w:rPr>
          <w:rFonts w:cstheme="minorHAnsi"/>
        </w:rPr>
        <w:t>electrohypersensitivity</w:t>
      </w:r>
      <w:proofErr w:type="spellEnd"/>
      <w:r w:rsidRPr="00133B3F">
        <w:rPr>
          <w:rFonts w:cstheme="minorHAnsi"/>
        </w:rPr>
        <w:t xml:space="preserve"> </w:t>
      </w:r>
      <w:proofErr w:type="spellStart"/>
      <w:r w:rsidRPr="00133B3F">
        <w:rPr>
          <w:rFonts w:cstheme="minorHAnsi"/>
        </w:rPr>
        <w:t>after</w:t>
      </w:r>
      <w:proofErr w:type="spellEnd"/>
      <w:r w:rsidRPr="00133B3F">
        <w:rPr>
          <w:rFonts w:cstheme="minorHAnsi"/>
        </w:rPr>
        <w:t xml:space="preserve"> long </w:t>
      </w:r>
      <w:proofErr w:type="spellStart"/>
      <w:r w:rsidRPr="00133B3F">
        <w:rPr>
          <w:rFonts w:cstheme="minorHAnsi"/>
        </w:rPr>
        <w:t>term</w:t>
      </w:r>
      <w:proofErr w:type="spellEnd"/>
      <w:r w:rsidRPr="00133B3F">
        <w:rPr>
          <w:rFonts w:cstheme="minorHAnsi"/>
        </w:rPr>
        <w:t xml:space="preserve"> </w:t>
      </w:r>
      <w:proofErr w:type="spellStart"/>
      <w:r w:rsidRPr="00133B3F">
        <w:rPr>
          <w:rFonts w:cstheme="minorHAnsi"/>
        </w:rPr>
        <w:t>exposure</w:t>
      </w:r>
      <w:proofErr w:type="spellEnd"/>
      <w:r w:rsidRPr="00133B3F">
        <w:rPr>
          <w:rFonts w:cstheme="minorHAnsi"/>
        </w:rPr>
        <w:t xml:space="preserve"> </w:t>
      </w:r>
      <w:proofErr w:type="spellStart"/>
      <w:r w:rsidRPr="00133B3F">
        <w:rPr>
          <w:rFonts w:cstheme="minorHAnsi"/>
        </w:rPr>
        <w:t>to</w:t>
      </w:r>
      <w:proofErr w:type="spellEnd"/>
      <w:r w:rsidRPr="00133B3F">
        <w:rPr>
          <w:rFonts w:cstheme="minorHAnsi"/>
        </w:rPr>
        <w:t xml:space="preserve"> </w:t>
      </w:r>
      <w:proofErr w:type="spellStart"/>
      <w:r w:rsidRPr="00133B3F">
        <w:rPr>
          <w:rFonts w:cstheme="minorHAnsi"/>
        </w:rPr>
        <w:t>electromagnetic</w:t>
      </w:r>
      <w:proofErr w:type="spellEnd"/>
      <w:r w:rsidRPr="00133B3F">
        <w:rPr>
          <w:rFonts w:cstheme="minorHAnsi"/>
        </w:rPr>
        <w:t xml:space="preserve"> </w:t>
      </w:r>
      <w:proofErr w:type="spellStart"/>
      <w:r w:rsidRPr="00133B3F">
        <w:rPr>
          <w:rFonts w:cstheme="minorHAnsi"/>
        </w:rPr>
        <w:t>fields</w:t>
      </w:r>
      <w:proofErr w:type="spellEnd"/>
      <w:r w:rsidRPr="00133B3F">
        <w:rPr>
          <w:rFonts w:cstheme="minorHAnsi"/>
        </w:rPr>
        <w:t xml:space="preserve">. </w:t>
      </w:r>
      <w:proofErr w:type="spellStart"/>
      <w:r w:rsidRPr="00133B3F">
        <w:rPr>
          <w:rFonts w:cstheme="minorHAnsi"/>
        </w:rPr>
        <w:t>Rev</w:t>
      </w:r>
      <w:proofErr w:type="spellEnd"/>
      <w:r w:rsidRPr="00133B3F">
        <w:rPr>
          <w:rFonts w:cstheme="minorHAnsi"/>
        </w:rPr>
        <w:t xml:space="preserve"> </w:t>
      </w:r>
      <w:proofErr w:type="spellStart"/>
      <w:r w:rsidRPr="00133B3F">
        <w:rPr>
          <w:rFonts w:cstheme="minorHAnsi"/>
        </w:rPr>
        <w:t>Environ</w:t>
      </w:r>
      <w:proofErr w:type="spellEnd"/>
      <w:r w:rsidRPr="00133B3F">
        <w:rPr>
          <w:rFonts w:cstheme="minorHAnsi"/>
        </w:rPr>
        <w:t xml:space="preserve"> </w:t>
      </w:r>
      <w:proofErr w:type="spellStart"/>
      <w:r w:rsidRPr="00133B3F">
        <w:rPr>
          <w:rFonts w:cstheme="minorHAnsi"/>
        </w:rPr>
        <w:t>Health</w:t>
      </w:r>
      <w:proofErr w:type="spellEnd"/>
      <w:r w:rsidRPr="00133B3F">
        <w:rPr>
          <w:rFonts w:cstheme="minorHAnsi"/>
        </w:rPr>
        <w:t xml:space="preserve">. 2017 </w:t>
      </w:r>
      <w:proofErr w:type="spellStart"/>
      <w:r w:rsidRPr="00133B3F">
        <w:rPr>
          <w:rFonts w:cstheme="minorHAnsi"/>
        </w:rPr>
        <w:t>Sep</w:t>
      </w:r>
      <w:proofErr w:type="spellEnd"/>
      <w:r w:rsidRPr="00133B3F">
        <w:rPr>
          <w:rFonts w:cstheme="minorHAnsi"/>
        </w:rPr>
        <w:t xml:space="preserve"> 26;32(3):291-299. </w:t>
      </w:r>
      <w:proofErr w:type="spellStart"/>
      <w:r w:rsidRPr="00133B3F">
        <w:rPr>
          <w:rFonts w:cstheme="minorHAnsi"/>
        </w:rPr>
        <w:t>doi</w:t>
      </w:r>
      <w:proofErr w:type="spellEnd"/>
      <w:r w:rsidRPr="00133B3F">
        <w:rPr>
          <w:rFonts w:cstheme="minorHAnsi"/>
        </w:rPr>
        <w:t>: 10.1515/reveh-2017-0014.</w:t>
      </w:r>
    </w:p>
  </w:footnote>
  <w:footnote w:id="5">
    <w:p w:rsidR="001352BD" w:rsidRPr="00133B3F" w:rsidRDefault="001352BD" w:rsidP="00DB65EE">
      <w:pPr>
        <w:pStyle w:val="Testonotaapidipagina"/>
        <w:jc w:val="both"/>
        <w:rPr>
          <w:rFonts w:cstheme="minorHAnsi"/>
        </w:rPr>
      </w:pPr>
      <w:r w:rsidRPr="00133B3F">
        <w:rPr>
          <w:rStyle w:val="Rimandonotaapidipagina"/>
          <w:rFonts w:cstheme="minorHAnsi"/>
          <w:vertAlign w:val="baseline"/>
        </w:rPr>
        <w:footnoteRef/>
      </w:r>
      <w:r w:rsidRPr="00133B3F">
        <w:rPr>
          <w:rFonts w:cstheme="minorHAnsi"/>
        </w:rPr>
        <w:t xml:space="preserve"> </w:t>
      </w:r>
      <w:proofErr w:type="spellStart"/>
      <w:r w:rsidRPr="00133B3F">
        <w:rPr>
          <w:rFonts w:cstheme="minorHAnsi"/>
        </w:rPr>
        <w:t>McCarty</w:t>
      </w:r>
      <w:proofErr w:type="spellEnd"/>
      <w:r w:rsidRPr="00133B3F">
        <w:rPr>
          <w:rFonts w:cstheme="minorHAnsi"/>
        </w:rPr>
        <w:t xml:space="preserve"> DE, </w:t>
      </w:r>
      <w:proofErr w:type="spellStart"/>
      <w:r w:rsidRPr="00133B3F">
        <w:rPr>
          <w:rFonts w:cstheme="minorHAnsi"/>
        </w:rPr>
        <w:t>et</w:t>
      </w:r>
      <w:proofErr w:type="spellEnd"/>
      <w:r w:rsidRPr="00133B3F">
        <w:rPr>
          <w:rFonts w:cstheme="minorHAnsi"/>
        </w:rPr>
        <w:t xml:space="preserve"> al. 2011 </w:t>
      </w:r>
      <w:proofErr w:type="spellStart"/>
      <w:r w:rsidRPr="00133B3F">
        <w:rPr>
          <w:rFonts w:cstheme="minorHAnsi"/>
        </w:rPr>
        <w:t>Electromagnetic</w:t>
      </w:r>
      <w:proofErr w:type="spellEnd"/>
      <w:r w:rsidRPr="00133B3F">
        <w:rPr>
          <w:rFonts w:cstheme="minorHAnsi"/>
        </w:rPr>
        <w:t xml:space="preserve"> </w:t>
      </w:r>
      <w:proofErr w:type="spellStart"/>
      <w:r w:rsidRPr="00133B3F">
        <w:rPr>
          <w:rFonts w:cstheme="minorHAnsi"/>
        </w:rPr>
        <w:t>hypersensitivity</w:t>
      </w:r>
      <w:proofErr w:type="spellEnd"/>
      <w:r w:rsidRPr="00133B3F">
        <w:rPr>
          <w:rFonts w:cstheme="minorHAnsi"/>
        </w:rPr>
        <w:t xml:space="preserve">: </w:t>
      </w:r>
      <w:proofErr w:type="spellStart"/>
      <w:r w:rsidRPr="00133B3F">
        <w:rPr>
          <w:rFonts w:cstheme="minorHAnsi"/>
        </w:rPr>
        <w:t>evidence</w:t>
      </w:r>
      <w:proofErr w:type="spellEnd"/>
      <w:r w:rsidRPr="00133B3F">
        <w:rPr>
          <w:rFonts w:cstheme="minorHAnsi"/>
        </w:rPr>
        <w:t xml:space="preserve"> </w:t>
      </w:r>
      <w:proofErr w:type="spellStart"/>
      <w:r w:rsidRPr="00133B3F">
        <w:rPr>
          <w:rFonts w:cstheme="minorHAnsi"/>
        </w:rPr>
        <w:t>for</w:t>
      </w:r>
      <w:proofErr w:type="spellEnd"/>
      <w:r w:rsidRPr="00133B3F">
        <w:rPr>
          <w:rFonts w:cstheme="minorHAnsi"/>
        </w:rPr>
        <w:t xml:space="preserve"> a </w:t>
      </w:r>
      <w:proofErr w:type="spellStart"/>
      <w:r w:rsidRPr="00133B3F">
        <w:rPr>
          <w:rFonts w:cstheme="minorHAnsi"/>
        </w:rPr>
        <w:t>novel</w:t>
      </w:r>
      <w:proofErr w:type="spellEnd"/>
      <w:r w:rsidRPr="00133B3F">
        <w:rPr>
          <w:rFonts w:cstheme="minorHAnsi"/>
        </w:rPr>
        <w:t xml:space="preserve"> </w:t>
      </w:r>
      <w:proofErr w:type="spellStart"/>
      <w:r w:rsidRPr="00133B3F">
        <w:rPr>
          <w:rFonts w:cstheme="minorHAnsi"/>
        </w:rPr>
        <w:t>neurological</w:t>
      </w:r>
      <w:proofErr w:type="spellEnd"/>
      <w:r w:rsidRPr="00133B3F">
        <w:rPr>
          <w:rFonts w:cstheme="minorHAnsi"/>
        </w:rPr>
        <w:t xml:space="preserve"> </w:t>
      </w:r>
      <w:proofErr w:type="spellStart"/>
      <w:r w:rsidRPr="00133B3F">
        <w:rPr>
          <w:rFonts w:cstheme="minorHAnsi"/>
        </w:rPr>
        <w:t>syndrome</w:t>
      </w:r>
      <w:proofErr w:type="spellEnd"/>
      <w:r w:rsidRPr="00133B3F">
        <w:rPr>
          <w:rFonts w:cstheme="minorHAnsi"/>
        </w:rPr>
        <w:t xml:space="preserve">. </w:t>
      </w:r>
      <w:proofErr w:type="spellStart"/>
      <w:r w:rsidRPr="00133B3F">
        <w:rPr>
          <w:rFonts w:cstheme="minorHAnsi"/>
        </w:rPr>
        <w:t>Int</w:t>
      </w:r>
      <w:proofErr w:type="spellEnd"/>
      <w:r w:rsidRPr="00133B3F">
        <w:rPr>
          <w:rFonts w:cstheme="minorHAnsi"/>
        </w:rPr>
        <w:t xml:space="preserve"> J </w:t>
      </w:r>
      <w:proofErr w:type="spellStart"/>
      <w:r w:rsidRPr="00133B3F">
        <w:rPr>
          <w:rFonts w:cstheme="minorHAnsi"/>
        </w:rPr>
        <w:t>Neurosci</w:t>
      </w:r>
      <w:proofErr w:type="spellEnd"/>
      <w:r w:rsidRPr="00133B3F">
        <w:rPr>
          <w:rFonts w:cstheme="minorHAnsi"/>
        </w:rPr>
        <w:t xml:space="preserve">. 2011 </w:t>
      </w:r>
      <w:proofErr w:type="spellStart"/>
      <w:r w:rsidRPr="00133B3F">
        <w:rPr>
          <w:rFonts w:cstheme="minorHAnsi"/>
        </w:rPr>
        <w:t>Sep</w:t>
      </w:r>
      <w:proofErr w:type="spellEnd"/>
      <w:r w:rsidRPr="00133B3F">
        <w:rPr>
          <w:rFonts w:cstheme="minorHAnsi"/>
        </w:rPr>
        <w:t xml:space="preserve"> 5.</w:t>
      </w:r>
    </w:p>
  </w:footnote>
  <w:footnote w:id="6">
    <w:p w:rsidR="001352BD" w:rsidRPr="00133B3F" w:rsidRDefault="001352BD" w:rsidP="00DB65EE">
      <w:pPr>
        <w:pStyle w:val="Testonotaapidipagina"/>
        <w:jc w:val="both"/>
        <w:rPr>
          <w:rFonts w:cstheme="minorHAnsi"/>
        </w:rPr>
      </w:pPr>
      <w:r w:rsidRPr="00133B3F">
        <w:rPr>
          <w:rStyle w:val="Rimandonotaapidipagina"/>
          <w:rFonts w:cstheme="minorHAnsi"/>
          <w:vertAlign w:val="baseline"/>
        </w:rPr>
        <w:footnoteRef/>
      </w:r>
      <w:r w:rsidRPr="00133B3F">
        <w:rPr>
          <w:rFonts w:cstheme="minorHAnsi"/>
        </w:rPr>
        <w:t xml:space="preserve"> </w:t>
      </w:r>
      <w:proofErr w:type="spellStart"/>
      <w:r w:rsidRPr="00133B3F">
        <w:rPr>
          <w:rFonts w:cstheme="minorHAnsi"/>
        </w:rPr>
        <w:t>Havas</w:t>
      </w:r>
      <w:proofErr w:type="spellEnd"/>
      <w:r w:rsidRPr="00133B3F">
        <w:rPr>
          <w:rFonts w:cstheme="minorHAnsi"/>
        </w:rPr>
        <w:t xml:space="preserve"> M, </w:t>
      </w:r>
      <w:proofErr w:type="spellStart"/>
      <w:r w:rsidRPr="00133B3F">
        <w:rPr>
          <w:rFonts w:cstheme="minorHAnsi"/>
        </w:rPr>
        <w:t>et</w:t>
      </w:r>
      <w:proofErr w:type="spellEnd"/>
      <w:r w:rsidRPr="00133B3F">
        <w:rPr>
          <w:rFonts w:cstheme="minorHAnsi"/>
        </w:rPr>
        <w:t xml:space="preserve"> al. 2010 </w:t>
      </w:r>
      <w:proofErr w:type="spellStart"/>
      <w:r w:rsidRPr="00133B3F">
        <w:rPr>
          <w:rFonts w:cstheme="minorHAnsi"/>
        </w:rPr>
        <w:t>Provocation</w:t>
      </w:r>
      <w:proofErr w:type="spellEnd"/>
      <w:r w:rsidRPr="00133B3F">
        <w:rPr>
          <w:rFonts w:cstheme="minorHAnsi"/>
        </w:rPr>
        <w:t xml:space="preserve"> </w:t>
      </w:r>
      <w:proofErr w:type="spellStart"/>
      <w:r w:rsidRPr="00133B3F">
        <w:rPr>
          <w:rFonts w:cstheme="minorHAnsi"/>
        </w:rPr>
        <w:t>study</w:t>
      </w:r>
      <w:proofErr w:type="spellEnd"/>
      <w:r w:rsidRPr="00133B3F">
        <w:rPr>
          <w:rFonts w:cstheme="minorHAnsi"/>
        </w:rPr>
        <w:t xml:space="preserve"> </w:t>
      </w:r>
      <w:proofErr w:type="spellStart"/>
      <w:r w:rsidRPr="00133B3F">
        <w:rPr>
          <w:rFonts w:cstheme="minorHAnsi"/>
        </w:rPr>
        <w:t>using</w:t>
      </w:r>
      <w:proofErr w:type="spellEnd"/>
      <w:r w:rsidRPr="00133B3F">
        <w:rPr>
          <w:rFonts w:cstheme="minorHAnsi"/>
        </w:rPr>
        <w:t xml:space="preserve"> </w:t>
      </w:r>
      <w:proofErr w:type="spellStart"/>
      <w:r w:rsidRPr="00133B3F">
        <w:rPr>
          <w:rFonts w:cstheme="minorHAnsi"/>
        </w:rPr>
        <w:t>heart</w:t>
      </w:r>
      <w:proofErr w:type="spellEnd"/>
      <w:r w:rsidRPr="00133B3F">
        <w:rPr>
          <w:rFonts w:cstheme="minorHAnsi"/>
        </w:rPr>
        <w:t xml:space="preserve"> rate </w:t>
      </w:r>
      <w:proofErr w:type="spellStart"/>
      <w:r w:rsidRPr="00133B3F">
        <w:rPr>
          <w:rFonts w:cstheme="minorHAnsi"/>
        </w:rPr>
        <w:t>variability</w:t>
      </w:r>
      <w:proofErr w:type="spellEnd"/>
      <w:r w:rsidRPr="00133B3F">
        <w:rPr>
          <w:rFonts w:cstheme="minorHAnsi"/>
        </w:rPr>
        <w:t xml:space="preserve"> </w:t>
      </w:r>
      <w:proofErr w:type="spellStart"/>
      <w:r w:rsidRPr="00133B3F">
        <w:rPr>
          <w:rFonts w:cstheme="minorHAnsi"/>
        </w:rPr>
        <w:t>shows</w:t>
      </w:r>
      <w:proofErr w:type="spellEnd"/>
      <w:r w:rsidRPr="00133B3F">
        <w:rPr>
          <w:rFonts w:cstheme="minorHAnsi"/>
        </w:rPr>
        <w:t xml:space="preserve"> </w:t>
      </w:r>
      <w:proofErr w:type="spellStart"/>
      <w:r w:rsidRPr="00133B3F">
        <w:rPr>
          <w:rFonts w:cstheme="minorHAnsi"/>
        </w:rPr>
        <w:t>microwave</w:t>
      </w:r>
      <w:proofErr w:type="spellEnd"/>
      <w:r w:rsidRPr="00133B3F">
        <w:rPr>
          <w:rFonts w:cstheme="minorHAnsi"/>
        </w:rPr>
        <w:t xml:space="preserve"> </w:t>
      </w:r>
      <w:proofErr w:type="spellStart"/>
      <w:r w:rsidRPr="00133B3F">
        <w:rPr>
          <w:rFonts w:cstheme="minorHAnsi"/>
        </w:rPr>
        <w:t>radiation</w:t>
      </w:r>
      <w:proofErr w:type="spellEnd"/>
      <w:r w:rsidRPr="00133B3F">
        <w:rPr>
          <w:rFonts w:cstheme="minorHAnsi"/>
        </w:rPr>
        <w:t xml:space="preserve"> </w:t>
      </w:r>
      <w:proofErr w:type="spellStart"/>
      <w:r w:rsidRPr="00133B3F">
        <w:rPr>
          <w:rFonts w:cstheme="minorHAnsi"/>
        </w:rPr>
        <w:t>from</w:t>
      </w:r>
      <w:proofErr w:type="spellEnd"/>
      <w:r w:rsidRPr="00133B3F">
        <w:rPr>
          <w:rFonts w:cstheme="minorHAnsi"/>
        </w:rPr>
        <w:t xml:space="preserve"> DECT </w:t>
      </w:r>
      <w:proofErr w:type="spellStart"/>
      <w:r w:rsidRPr="00133B3F">
        <w:rPr>
          <w:rFonts w:cstheme="minorHAnsi"/>
        </w:rPr>
        <w:t>phone</w:t>
      </w:r>
      <w:proofErr w:type="spellEnd"/>
      <w:r w:rsidRPr="00133B3F">
        <w:rPr>
          <w:rFonts w:cstheme="minorHAnsi"/>
        </w:rPr>
        <w:t xml:space="preserve"> </w:t>
      </w:r>
      <w:proofErr w:type="spellStart"/>
      <w:r w:rsidRPr="00133B3F">
        <w:rPr>
          <w:rFonts w:cstheme="minorHAnsi"/>
        </w:rPr>
        <w:t>affects</w:t>
      </w:r>
      <w:proofErr w:type="spellEnd"/>
      <w:r w:rsidRPr="00133B3F">
        <w:rPr>
          <w:rFonts w:cstheme="minorHAnsi"/>
        </w:rPr>
        <w:t xml:space="preserve"> </w:t>
      </w:r>
      <w:proofErr w:type="spellStart"/>
      <w:r w:rsidRPr="00133B3F">
        <w:rPr>
          <w:rFonts w:cstheme="minorHAnsi"/>
        </w:rPr>
        <w:t>autonomic</w:t>
      </w:r>
      <w:proofErr w:type="spellEnd"/>
      <w:r w:rsidRPr="00133B3F">
        <w:rPr>
          <w:rFonts w:cstheme="minorHAnsi"/>
        </w:rPr>
        <w:t xml:space="preserve"> </w:t>
      </w:r>
      <w:proofErr w:type="spellStart"/>
      <w:r w:rsidRPr="00133B3F">
        <w:rPr>
          <w:rFonts w:cstheme="minorHAnsi"/>
        </w:rPr>
        <w:t>nervous</w:t>
      </w:r>
      <w:proofErr w:type="spellEnd"/>
      <w:r w:rsidRPr="00133B3F">
        <w:rPr>
          <w:rFonts w:cstheme="minorHAnsi"/>
        </w:rPr>
        <w:t xml:space="preserve"> system. In: Giuliani L, </w:t>
      </w:r>
      <w:proofErr w:type="spellStart"/>
      <w:r w:rsidRPr="00133B3F">
        <w:rPr>
          <w:rFonts w:cstheme="minorHAnsi"/>
        </w:rPr>
        <w:t>Soffrio</w:t>
      </w:r>
      <w:proofErr w:type="spellEnd"/>
      <w:r w:rsidRPr="00133B3F">
        <w:rPr>
          <w:rFonts w:cstheme="minorHAnsi"/>
        </w:rPr>
        <w:t xml:space="preserve"> M, </w:t>
      </w:r>
      <w:proofErr w:type="spellStart"/>
      <w:r w:rsidRPr="00133B3F">
        <w:rPr>
          <w:rFonts w:cstheme="minorHAnsi"/>
        </w:rPr>
        <w:t>editors</w:t>
      </w:r>
      <w:proofErr w:type="spellEnd"/>
      <w:r w:rsidRPr="00133B3F">
        <w:rPr>
          <w:rFonts w:cstheme="minorHAnsi"/>
        </w:rPr>
        <w:t>. “</w:t>
      </w:r>
      <w:proofErr w:type="spellStart"/>
      <w:r w:rsidRPr="00133B3F">
        <w:rPr>
          <w:rFonts w:cstheme="minorHAnsi"/>
        </w:rPr>
        <w:t>Nonthermal</w:t>
      </w:r>
      <w:proofErr w:type="spellEnd"/>
      <w:r w:rsidRPr="00133B3F">
        <w:rPr>
          <w:rFonts w:cstheme="minorHAnsi"/>
        </w:rPr>
        <w:t xml:space="preserve"> </w:t>
      </w:r>
      <w:proofErr w:type="spellStart"/>
      <w:r w:rsidRPr="00133B3F">
        <w:rPr>
          <w:rFonts w:cstheme="minorHAnsi"/>
        </w:rPr>
        <w:t>Effects</w:t>
      </w:r>
      <w:proofErr w:type="spellEnd"/>
      <w:r w:rsidRPr="00133B3F">
        <w:rPr>
          <w:rFonts w:cstheme="minorHAnsi"/>
        </w:rPr>
        <w:t xml:space="preserve"> and </w:t>
      </w:r>
      <w:proofErr w:type="spellStart"/>
      <w:r w:rsidRPr="00133B3F">
        <w:rPr>
          <w:rFonts w:cstheme="minorHAnsi"/>
        </w:rPr>
        <w:t>Mechanisms</w:t>
      </w:r>
      <w:proofErr w:type="spellEnd"/>
      <w:r w:rsidRPr="00133B3F">
        <w:rPr>
          <w:rFonts w:cstheme="minorHAnsi"/>
        </w:rPr>
        <w:t xml:space="preserve"> </w:t>
      </w:r>
      <w:proofErr w:type="spellStart"/>
      <w:r w:rsidRPr="00133B3F">
        <w:rPr>
          <w:rFonts w:cstheme="minorHAnsi"/>
        </w:rPr>
        <w:t>of</w:t>
      </w:r>
      <w:proofErr w:type="spellEnd"/>
      <w:r w:rsidRPr="00133B3F">
        <w:rPr>
          <w:rFonts w:cstheme="minorHAnsi"/>
        </w:rPr>
        <w:t xml:space="preserve"> </w:t>
      </w:r>
      <w:proofErr w:type="spellStart"/>
      <w:r w:rsidRPr="00133B3F">
        <w:rPr>
          <w:rFonts w:cstheme="minorHAnsi"/>
        </w:rPr>
        <w:t>Interaction</w:t>
      </w:r>
      <w:proofErr w:type="spellEnd"/>
      <w:r w:rsidRPr="00133B3F">
        <w:rPr>
          <w:rFonts w:cstheme="minorHAnsi"/>
        </w:rPr>
        <w:t xml:space="preserve"> </w:t>
      </w:r>
      <w:proofErr w:type="spellStart"/>
      <w:r w:rsidRPr="00133B3F">
        <w:rPr>
          <w:rFonts w:cstheme="minorHAnsi"/>
        </w:rPr>
        <w:t>Between</w:t>
      </w:r>
      <w:proofErr w:type="spellEnd"/>
      <w:r w:rsidRPr="00133B3F">
        <w:rPr>
          <w:rFonts w:cstheme="minorHAnsi"/>
        </w:rPr>
        <w:t xml:space="preserve"> </w:t>
      </w:r>
      <w:proofErr w:type="spellStart"/>
      <w:r w:rsidRPr="00133B3F">
        <w:rPr>
          <w:rFonts w:cstheme="minorHAnsi"/>
        </w:rPr>
        <w:t>Electromagnetic</w:t>
      </w:r>
      <w:proofErr w:type="spellEnd"/>
      <w:r w:rsidRPr="00133B3F">
        <w:rPr>
          <w:rFonts w:cstheme="minorHAnsi"/>
        </w:rPr>
        <w:t xml:space="preserve"> </w:t>
      </w:r>
      <w:proofErr w:type="spellStart"/>
      <w:r w:rsidRPr="00133B3F">
        <w:rPr>
          <w:rFonts w:cstheme="minorHAnsi"/>
        </w:rPr>
        <w:t>Fields</w:t>
      </w:r>
      <w:proofErr w:type="spellEnd"/>
      <w:r w:rsidRPr="00133B3F">
        <w:rPr>
          <w:rFonts w:cstheme="minorHAnsi"/>
        </w:rPr>
        <w:t xml:space="preserve"> and Living </w:t>
      </w:r>
      <w:proofErr w:type="spellStart"/>
      <w:r w:rsidRPr="00133B3F">
        <w:rPr>
          <w:rFonts w:cstheme="minorHAnsi"/>
        </w:rPr>
        <w:t>Mafer</w:t>
      </w:r>
      <w:proofErr w:type="spellEnd"/>
      <w:r w:rsidRPr="00133B3F">
        <w:rPr>
          <w:rFonts w:cstheme="minorHAnsi"/>
        </w:rPr>
        <w:t xml:space="preserve">”, </w:t>
      </w:r>
      <w:proofErr w:type="spellStart"/>
      <w:r w:rsidRPr="00133B3F">
        <w:rPr>
          <w:rFonts w:cstheme="minorHAnsi"/>
        </w:rPr>
        <w:t>European</w:t>
      </w:r>
      <w:proofErr w:type="spellEnd"/>
      <w:r w:rsidRPr="00133B3F">
        <w:rPr>
          <w:rFonts w:cstheme="minorHAnsi"/>
        </w:rPr>
        <w:t xml:space="preserve"> J </w:t>
      </w:r>
      <w:proofErr w:type="spellStart"/>
      <w:r w:rsidRPr="00133B3F">
        <w:rPr>
          <w:rFonts w:cstheme="minorHAnsi"/>
        </w:rPr>
        <w:t>Oncology</w:t>
      </w:r>
      <w:proofErr w:type="spellEnd"/>
      <w:r w:rsidRPr="00133B3F">
        <w:rPr>
          <w:rFonts w:cstheme="minorHAnsi"/>
        </w:rPr>
        <w:t xml:space="preserve"> — </w:t>
      </w:r>
      <w:proofErr w:type="spellStart"/>
      <w:r w:rsidRPr="00133B3F">
        <w:rPr>
          <w:rFonts w:cstheme="minorHAnsi"/>
        </w:rPr>
        <w:t>Library</w:t>
      </w:r>
      <w:proofErr w:type="spellEnd"/>
      <w:r w:rsidRPr="00133B3F">
        <w:rPr>
          <w:rFonts w:cstheme="minorHAnsi"/>
        </w:rPr>
        <w:t xml:space="preserve">. National </w:t>
      </w:r>
      <w:proofErr w:type="spellStart"/>
      <w:r w:rsidRPr="00133B3F">
        <w:rPr>
          <w:rFonts w:cstheme="minorHAnsi"/>
        </w:rPr>
        <w:t>Institute</w:t>
      </w:r>
      <w:proofErr w:type="spellEnd"/>
      <w:r w:rsidRPr="00133B3F">
        <w:rPr>
          <w:rFonts w:cstheme="minorHAnsi"/>
        </w:rPr>
        <w:t xml:space="preserve"> </w:t>
      </w:r>
      <w:proofErr w:type="spellStart"/>
      <w:r w:rsidRPr="00133B3F">
        <w:rPr>
          <w:rFonts w:cstheme="minorHAnsi"/>
        </w:rPr>
        <w:t>for</w:t>
      </w:r>
      <w:proofErr w:type="spellEnd"/>
      <w:r w:rsidRPr="00133B3F">
        <w:rPr>
          <w:rFonts w:cstheme="minorHAnsi"/>
        </w:rPr>
        <w:t xml:space="preserve"> the </w:t>
      </w:r>
      <w:proofErr w:type="spellStart"/>
      <w:r w:rsidRPr="00133B3F">
        <w:rPr>
          <w:rFonts w:cstheme="minorHAnsi"/>
        </w:rPr>
        <w:t>Study</w:t>
      </w:r>
      <w:proofErr w:type="spellEnd"/>
      <w:r w:rsidRPr="00133B3F">
        <w:rPr>
          <w:rFonts w:cstheme="minorHAnsi"/>
        </w:rPr>
        <w:t xml:space="preserve"> and </w:t>
      </w:r>
      <w:proofErr w:type="spellStart"/>
      <w:r w:rsidRPr="00133B3F">
        <w:rPr>
          <w:rFonts w:cstheme="minorHAnsi"/>
        </w:rPr>
        <w:t>Control</w:t>
      </w:r>
      <w:proofErr w:type="spellEnd"/>
      <w:r w:rsidRPr="00133B3F">
        <w:rPr>
          <w:rFonts w:cstheme="minorHAnsi"/>
        </w:rPr>
        <w:t xml:space="preserve"> </w:t>
      </w:r>
      <w:proofErr w:type="spellStart"/>
      <w:r w:rsidRPr="00133B3F">
        <w:rPr>
          <w:rFonts w:cstheme="minorHAnsi"/>
        </w:rPr>
        <w:t>of</w:t>
      </w:r>
      <w:proofErr w:type="spellEnd"/>
      <w:r w:rsidRPr="00133B3F">
        <w:rPr>
          <w:rFonts w:cstheme="minorHAnsi"/>
        </w:rPr>
        <w:t xml:space="preserve"> </w:t>
      </w:r>
      <w:proofErr w:type="spellStart"/>
      <w:r w:rsidRPr="00133B3F">
        <w:rPr>
          <w:rFonts w:cstheme="minorHAnsi"/>
        </w:rPr>
        <w:t>Cancer</w:t>
      </w:r>
      <w:proofErr w:type="spellEnd"/>
      <w:r w:rsidRPr="00133B3F">
        <w:rPr>
          <w:rFonts w:cstheme="minorHAnsi"/>
        </w:rPr>
        <w:t xml:space="preserve"> and </w:t>
      </w:r>
      <w:proofErr w:type="spellStart"/>
      <w:r w:rsidRPr="00133B3F">
        <w:rPr>
          <w:rFonts w:cstheme="minorHAnsi"/>
        </w:rPr>
        <w:t>Environmental</w:t>
      </w:r>
      <w:proofErr w:type="spellEnd"/>
      <w:r w:rsidRPr="00133B3F">
        <w:rPr>
          <w:rFonts w:cstheme="minorHAnsi"/>
        </w:rPr>
        <w:t xml:space="preserve"> </w:t>
      </w:r>
      <w:proofErr w:type="spellStart"/>
      <w:r w:rsidRPr="00133B3F">
        <w:rPr>
          <w:rFonts w:cstheme="minorHAnsi"/>
        </w:rPr>
        <w:t>Disease</w:t>
      </w:r>
      <w:proofErr w:type="spellEnd"/>
      <w:r w:rsidRPr="00133B3F">
        <w:rPr>
          <w:rFonts w:cstheme="minorHAnsi"/>
        </w:rPr>
        <w:t xml:space="preserve"> Bologna: </w:t>
      </w:r>
      <w:proofErr w:type="spellStart"/>
      <w:r w:rsidRPr="00133B3F">
        <w:rPr>
          <w:rFonts w:cstheme="minorHAnsi"/>
        </w:rPr>
        <w:t>Maooli</w:t>
      </w:r>
      <w:proofErr w:type="spellEnd"/>
      <w:r w:rsidRPr="00133B3F">
        <w:rPr>
          <w:rFonts w:cstheme="minorHAnsi"/>
        </w:rPr>
        <w:t>; 2010. pp. 273–300. 2010.</w:t>
      </w:r>
    </w:p>
  </w:footnote>
  <w:footnote w:id="7">
    <w:p w:rsidR="001352BD" w:rsidRPr="00133B3F" w:rsidRDefault="001352BD" w:rsidP="00DB65EE">
      <w:pPr>
        <w:pStyle w:val="Testonotaapidipagina"/>
        <w:jc w:val="both"/>
        <w:rPr>
          <w:rFonts w:cstheme="minorHAnsi"/>
        </w:rPr>
      </w:pPr>
      <w:r w:rsidRPr="00133B3F">
        <w:rPr>
          <w:rStyle w:val="Rimandonotaapidipagina"/>
          <w:rFonts w:cstheme="minorHAnsi"/>
          <w:vertAlign w:val="baseline"/>
        </w:rPr>
        <w:footnoteRef/>
      </w:r>
      <w:r w:rsidRPr="00133B3F">
        <w:rPr>
          <w:rFonts w:cstheme="minorHAnsi"/>
        </w:rPr>
        <w:t xml:space="preserve"> </w:t>
      </w:r>
      <w:r w:rsidR="00133B3F" w:rsidRPr="00133B3F">
        <w:rPr>
          <w:rFonts w:cstheme="minorHAnsi"/>
        </w:rPr>
        <w:t>https://www.infoamica.it/tribunale-francese-riconosce-lelettrosensibilita/</w:t>
      </w:r>
    </w:p>
  </w:footnote>
  <w:footnote w:id="8">
    <w:p w:rsidR="001352BD" w:rsidRPr="00133B3F" w:rsidRDefault="001352BD" w:rsidP="00DB65EE">
      <w:pPr>
        <w:pStyle w:val="Testonotaapidipagina"/>
        <w:jc w:val="both"/>
        <w:rPr>
          <w:rFonts w:cstheme="minorHAnsi"/>
        </w:rPr>
      </w:pPr>
      <w:r w:rsidRPr="00133B3F">
        <w:rPr>
          <w:rStyle w:val="Rimandonotaapidipagina"/>
          <w:rFonts w:cstheme="minorHAnsi"/>
          <w:vertAlign w:val="baseline"/>
        </w:rPr>
        <w:footnoteRef/>
      </w:r>
      <w:r w:rsidRPr="00133B3F">
        <w:rPr>
          <w:rFonts w:cstheme="minorHAnsi"/>
        </w:rPr>
        <w:t xml:space="preserve"> </w:t>
      </w:r>
      <w:r w:rsidR="00133B3F" w:rsidRPr="00133B3F">
        <w:rPr>
          <w:rFonts w:cstheme="minorHAnsi"/>
        </w:rPr>
        <w:t>https://www.infoamica.it/riconoscimento-della-elettrosensibilita-come-malattia-professionale-in-germania/</w:t>
      </w:r>
    </w:p>
  </w:footnote>
  <w:footnote w:id="9">
    <w:p w:rsidR="001352BD" w:rsidRPr="00133B3F" w:rsidRDefault="00133B3F" w:rsidP="00DB65EE">
      <w:pPr>
        <w:pStyle w:val="Testonotaapidipagina"/>
        <w:jc w:val="both"/>
        <w:rPr>
          <w:rFonts w:cstheme="minorHAnsi"/>
        </w:rPr>
      </w:pPr>
      <w:r w:rsidRPr="00133B3F">
        <w:rPr>
          <w:rStyle w:val="Rimandonotaapidipagina"/>
          <w:rFonts w:cstheme="minorHAnsi"/>
          <w:vertAlign w:val="baseline"/>
        </w:rPr>
        <w:t>http://www.next-up.org/pdf/Hypersensitivity_to_the_waves_produced_by_mobile_phones_becomes_a_new_cause_of_permanent_disability_11_09_2011.pdf</w:t>
      </w:r>
    </w:p>
  </w:footnote>
  <w:footnote w:id="10">
    <w:p w:rsidR="001352BD" w:rsidRDefault="001352BD" w:rsidP="00DB65EE">
      <w:pPr>
        <w:pStyle w:val="Testonotaapidipagina"/>
        <w:jc w:val="both"/>
      </w:pPr>
      <w:r>
        <w:rPr>
          <w:rStyle w:val="Rimandonotaapidipagina"/>
        </w:rPr>
        <w:footnoteRef/>
      </w:r>
      <w:r>
        <w:t xml:space="preserve"> </w:t>
      </w:r>
      <w:proofErr w:type="spellStart"/>
      <w:r w:rsidRPr="001352BD">
        <w:t>Hardell</w:t>
      </w:r>
      <w:proofErr w:type="spellEnd"/>
      <w:r w:rsidRPr="001352BD">
        <w:t xml:space="preserve"> L, </w:t>
      </w:r>
      <w:proofErr w:type="spellStart"/>
      <w:r w:rsidRPr="001352BD">
        <w:t>Carlberg</w:t>
      </w:r>
      <w:proofErr w:type="spellEnd"/>
      <w:r w:rsidRPr="001352BD">
        <w:t xml:space="preserve"> M. Mobile </w:t>
      </w:r>
      <w:proofErr w:type="spellStart"/>
      <w:r w:rsidRPr="001352BD">
        <w:t>phone</w:t>
      </w:r>
      <w:proofErr w:type="spellEnd"/>
      <w:r w:rsidRPr="001352BD">
        <w:t xml:space="preserve"> and cordless </w:t>
      </w:r>
      <w:proofErr w:type="spellStart"/>
      <w:r w:rsidRPr="001352BD">
        <w:t>phone</w:t>
      </w:r>
      <w:proofErr w:type="spellEnd"/>
      <w:r w:rsidRPr="001352BD">
        <w:t xml:space="preserve"> </w:t>
      </w:r>
      <w:proofErr w:type="spellStart"/>
      <w:r w:rsidRPr="001352BD">
        <w:t>use</w:t>
      </w:r>
      <w:proofErr w:type="spellEnd"/>
      <w:r w:rsidRPr="001352BD">
        <w:t xml:space="preserve"> and the </w:t>
      </w:r>
      <w:proofErr w:type="spellStart"/>
      <w:r w:rsidRPr="001352BD">
        <w:t>risk</w:t>
      </w:r>
      <w:proofErr w:type="spellEnd"/>
      <w:r w:rsidRPr="001352BD">
        <w:t xml:space="preserve"> </w:t>
      </w:r>
      <w:proofErr w:type="spellStart"/>
      <w:r w:rsidRPr="001352BD">
        <w:t>for</w:t>
      </w:r>
      <w:proofErr w:type="spellEnd"/>
      <w:r w:rsidRPr="001352BD">
        <w:t xml:space="preserve"> glioma - </w:t>
      </w:r>
      <w:proofErr w:type="spellStart"/>
      <w:r w:rsidRPr="001352BD">
        <w:t>Analysis</w:t>
      </w:r>
      <w:proofErr w:type="spellEnd"/>
      <w:r w:rsidRPr="001352BD">
        <w:t xml:space="preserve"> </w:t>
      </w:r>
      <w:proofErr w:type="spellStart"/>
      <w:r w:rsidRPr="001352BD">
        <w:t>of</w:t>
      </w:r>
      <w:proofErr w:type="spellEnd"/>
      <w:r w:rsidRPr="001352BD">
        <w:t xml:space="preserve"> </w:t>
      </w:r>
      <w:proofErr w:type="spellStart"/>
      <w:r w:rsidRPr="001352BD">
        <w:t>pooled</w:t>
      </w:r>
      <w:proofErr w:type="spellEnd"/>
      <w:r w:rsidRPr="001352BD">
        <w:t xml:space="preserve"> </w:t>
      </w:r>
      <w:proofErr w:type="spellStart"/>
      <w:r w:rsidRPr="001352BD">
        <w:t>case-control</w:t>
      </w:r>
      <w:proofErr w:type="spellEnd"/>
      <w:r w:rsidRPr="001352BD">
        <w:t xml:space="preserve"> </w:t>
      </w:r>
      <w:proofErr w:type="spellStart"/>
      <w:r w:rsidRPr="001352BD">
        <w:t>studies</w:t>
      </w:r>
      <w:proofErr w:type="spellEnd"/>
      <w:r w:rsidRPr="001352BD">
        <w:t xml:space="preserve"> in </w:t>
      </w:r>
      <w:proofErr w:type="spellStart"/>
      <w:r w:rsidRPr="001352BD">
        <w:t>Sweden</w:t>
      </w:r>
      <w:proofErr w:type="spellEnd"/>
      <w:r w:rsidRPr="001352BD">
        <w:t xml:space="preserve">, 1997-2003 and 2007-2009. </w:t>
      </w:r>
      <w:proofErr w:type="spellStart"/>
      <w:r w:rsidRPr="001352BD">
        <w:t>Pathophysiology</w:t>
      </w:r>
      <w:proofErr w:type="spellEnd"/>
      <w:r w:rsidRPr="001352BD">
        <w:t xml:space="preserve">. 2015 Mar;22(1):1-13. </w:t>
      </w:r>
      <w:proofErr w:type="spellStart"/>
      <w:r w:rsidRPr="001352BD">
        <w:t>doi</w:t>
      </w:r>
      <w:proofErr w:type="spellEnd"/>
      <w:r w:rsidRPr="001352BD">
        <w:t>: 10.1016/</w:t>
      </w:r>
      <w:proofErr w:type="spellStart"/>
      <w:r w:rsidRPr="001352BD">
        <w:t>j.pathophys</w:t>
      </w:r>
      <w:proofErr w:type="spellEnd"/>
      <w:r w:rsidRPr="001352BD">
        <w:t xml:space="preserve">.2014.10.001. </w:t>
      </w:r>
      <w:proofErr w:type="spellStart"/>
      <w:r w:rsidRPr="001352BD">
        <w:t>Epub</w:t>
      </w:r>
      <w:proofErr w:type="spellEnd"/>
      <w:r w:rsidRPr="001352BD">
        <w:t xml:space="preserve"> 2014 </w:t>
      </w:r>
      <w:proofErr w:type="spellStart"/>
      <w:r w:rsidRPr="001352BD">
        <w:t>Oct</w:t>
      </w:r>
      <w:proofErr w:type="spellEnd"/>
      <w:r w:rsidRPr="001352BD">
        <w:t xml:space="preserve"> 29.</w:t>
      </w:r>
    </w:p>
  </w:footnote>
  <w:footnote w:id="11">
    <w:p w:rsidR="001352BD" w:rsidRDefault="001352BD" w:rsidP="00DB65EE">
      <w:pPr>
        <w:pStyle w:val="Testonotaapidipagina"/>
        <w:jc w:val="both"/>
      </w:pPr>
      <w:r>
        <w:rPr>
          <w:rStyle w:val="Rimandonotaapidipagina"/>
        </w:rPr>
        <w:footnoteRef/>
      </w:r>
      <w:r>
        <w:t xml:space="preserve"> </w:t>
      </w:r>
      <w:r w:rsidRPr="001352BD">
        <w:t xml:space="preserve">Falcioni </w:t>
      </w:r>
      <w:proofErr w:type="spellStart"/>
      <w:r w:rsidRPr="001352BD">
        <w:t>et</w:t>
      </w:r>
      <w:proofErr w:type="spellEnd"/>
      <w:r w:rsidRPr="001352BD">
        <w:t xml:space="preserve"> al. Report </w:t>
      </w:r>
      <w:proofErr w:type="spellStart"/>
      <w:r w:rsidRPr="001352BD">
        <w:t>of</w:t>
      </w:r>
      <w:proofErr w:type="spellEnd"/>
      <w:r w:rsidRPr="001352BD">
        <w:t xml:space="preserve"> </w:t>
      </w:r>
      <w:proofErr w:type="spellStart"/>
      <w:r w:rsidRPr="001352BD">
        <w:t>final</w:t>
      </w:r>
      <w:proofErr w:type="spellEnd"/>
      <w:r w:rsidRPr="001352BD">
        <w:t xml:space="preserve"> </w:t>
      </w:r>
      <w:proofErr w:type="spellStart"/>
      <w:r w:rsidRPr="001352BD">
        <w:t>results</w:t>
      </w:r>
      <w:proofErr w:type="spellEnd"/>
      <w:r w:rsidRPr="001352BD">
        <w:t xml:space="preserve"> </w:t>
      </w:r>
      <w:proofErr w:type="spellStart"/>
      <w:r w:rsidRPr="001352BD">
        <w:t>regarding</w:t>
      </w:r>
      <w:proofErr w:type="spellEnd"/>
      <w:r w:rsidRPr="001352BD">
        <w:t xml:space="preserve"> </w:t>
      </w:r>
      <w:proofErr w:type="spellStart"/>
      <w:r w:rsidRPr="001352BD">
        <w:t>brain</w:t>
      </w:r>
      <w:proofErr w:type="spellEnd"/>
      <w:r w:rsidRPr="001352BD">
        <w:t xml:space="preserve"> and </w:t>
      </w:r>
      <w:proofErr w:type="spellStart"/>
      <w:r w:rsidRPr="001352BD">
        <w:t>heart</w:t>
      </w:r>
      <w:proofErr w:type="spellEnd"/>
      <w:r w:rsidRPr="001352BD">
        <w:t xml:space="preserve"> </w:t>
      </w:r>
      <w:proofErr w:type="spellStart"/>
      <w:r w:rsidRPr="001352BD">
        <w:t>tumors</w:t>
      </w:r>
      <w:proofErr w:type="spellEnd"/>
      <w:r w:rsidRPr="001352BD">
        <w:t xml:space="preserve"> in </w:t>
      </w:r>
      <w:proofErr w:type="spellStart"/>
      <w:r w:rsidRPr="001352BD">
        <w:t>Sprague-Dawley</w:t>
      </w:r>
      <w:proofErr w:type="spellEnd"/>
      <w:r w:rsidRPr="001352BD">
        <w:t xml:space="preserve"> </w:t>
      </w:r>
      <w:proofErr w:type="spellStart"/>
      <w:r w:rsidRPr="001352BD">
        <w:t>rats</w:t>
      </w:r>
      <w:proofErr w:type="spellEnd"/>
      <w:r w:rsidRPr="001352BD">
        <w:t xml:space="preserve"> </w:t>
      </w:r>
      <w:proofErr w:type="spellStart"/>
      <w:r w:rsidRPr="001352BD">
        <w:t>exposed</w:t>
      </w:r>
      <w:proofErr w:type="spellEnd"/>
      <w:r w:rsidRPr="001352BD">
        <w:t xml:space="preserve"> </w:t>
      </w:r>
      <w:proofErr w:type="spellStart"/>
      <w:r w:rsidRPr="001352BD">
        <w:t>from</w:t>
      </w:r>
      <w:proofErr w:type="spellEnd"/>
      <w:r w:rsidRPr="001352BD">
        <w:t xml:space="preserve"> </w:t>
      </w:r>
      <w:proofErr w:type="spellStart"/>
      <w:r w:rsidRPr="001352BD">
        <w:t>prenatal</w:t>
      </w:r>
      <w:proofErr w:type="spellEnd"/>
      <w:r w:rsidRPr="001352BD">
        <w:t xml:space="preserve"> life </w:t>
      </w:r>
      <w:proofErr w:type="spellStart"/>
      <w:r w:rsidRPr="001352BD">
        <w:t>until</w:t>
      </w:r>
      <w:proofErr w:type="spellEnd"/>
      <w:r w:rsidRPr="001352BD">
        <w:t xml:space="preserve"> </w:t>
      </w:r>
      <w:proofErr w:type="spellStart"/>
      <w:r w:rsidRPr="001352BD">
        <w:t>natural</w:t>
      </w:r>
      <w:proofErr w:type="spellEnd"/>
      <w:r w:rsidRPr="001352BD">
        <w:t xml:space="preserve"> </w:t>
      </w:r>
      <w:proofErr w:type="spellStart"/>
      <w:r w:rsidRPr="001352BD">
        <w:t>death</w:t>
      </w:r>
      <w:proofErr w:type="spellEnd"/>
      <w:r w:rsidRPr="001352BD">
        <w:t xml:space="preserve"> </w:t>
      </w:r>
      <w:proofErr w:type="spellStart"/>
      <w:r w:rsidRPr="001352BD">
        <w:t>to</w:t>
      </w:r>
      <w:proofErr w:type="spellEnd"/>
      <w:r w:rsidRPr="001352BD">
        <w:t xml:space="preserve"> mobile </w:t>
      </w:r>
      <w:proofErr w:type="spellStart"/>
      <w:r w:rsidRPr="001352BD">
        <w:t>phone</w:t>
      </w:r>
      <w:proofErr w:type="spellEnd"/>
      <w:r w:rsidRPr="001352BD">
        <w:t xml:space="preserve"> </w:t>
      </w:r>
      <w:proofErr w:type="spellStart"/>
      <w:r w:rsidRPr="001352BD">
        <w:t>radiofrequency</w:t>
      </w:r>
      <w:proofErr w:type="spellEnd"/>
      <w:r w:rsidRPr="001352BD">
        <w:t xml:space="preserve"> </w:t>
      </w:r>
      <w:proofErr w:type="spellStart"/>
      <w:r w:rsidRPr="001352BD">
        <w:t>field</w:t>
      </w:r>
      <w:proofErr w:type="spellEnd"/>
      <w:r w:rsidRPr="001352BD">
        <w:t xml:space="preserve"> </w:t>
      </w:r>
      <w:proofErr w:type="spellStart"/>
      <w:r w:rsidRPr="001352BD">
        <w:t>representative</w:t>
      </w:r>
      <w:proofErr w:type="spellEnd"/>
      <w:r w:rsidRPr="001352BD">
        <w:t xml:space="preserve"> </w:t>
      </w:r>
      <w:proofErr w:type="spellStart"/>
      <w:r w:rsidRPr="001352BD">
        <w:t>of</w:t>
      </w:r>
      <w:proofErr w:type="spellEnd"/>
      <w:r w:rsidRPr="001352BD">
        <w:t xml:space="preserve"> a 1.8 </w:t>
      </w:r>
      <w:proofErr w:type="spellStart"/>
      <w:r w:rsidRPr="001352BD">
        <w:t>GHz</w:t>
      </w:r>
      <w:proofErr w:type="spellEnd"/>
      <w:r w:rsidRPr="001352BD">
        <w:t xml:space="preserve"> GSM base station </w:t>
      </w:r>
      <w:proofErr w:type="spellStart"/>
      <w:r w:rsidRPr="001352BD">
        <w:t>environmental</w:t>
      </w:r>
      <w:proofErr w:type="spellEnd"/>
      <w:r w:rsidRPr="001352BD">
        <w:t xml:space="preserve"> </w:t>
      </w:r>
      <w:proofErr w:type="spellStart"/>
      <w:r w:rsidRPr="001352BD">
        <w:t>emission</w:t>
      </w:r>
      <w:proofErr w:type="spellEnd"/>
      <w:r w:rsidRPr="001352BD">
        <w:t xml:space="preserve">. </w:t>
      </w:r>
      <w:proofErr w:type="spellStart"/>
      <w:r w:rsidRPr="001352BD">
        <w:t>Environ</w:t>
      </w:r>
      <w:proofErr w:type="spellEnd"/>
      <w:r w:rsidRPr="001352BD">
        <w:t xml:space="preserve"> </w:t>
      </w:r>
      <w:proofErr w:type="spellStart"/>
      <w:r w:rsidRPr="001352BD">
        <w:t>Res</w:t>
      </w:r>
      <w:proofErr w:type="spellEnd"/>
      <w:r w:rsidRPr="001352BD">
        <w:t xml:space="preserve">. 2018 </w:t>
      </w:r>
      <w:proofErr w:type="spellStart"/>
      <w:r w:rsidRPr="001352BD">
        <w:t>Aug</w:t>
      </w:r>
      <w:proofErr w:type="spellEnd"/>
      <w:r w:rsidRPr="001352BD">
        <w:t>; 165:496-503. 2018.</w:t>
      </w:r>
    </w:p>
  </w:footnote>
  <w:footnote w:id="12">
    <w:p w:rsidR="001352BD" w:rsidRDefault="001352BD" w:rsidP="00DB65EE">
      <w:pPr>
        <w:pStyle w:val="Testonotaapidipagina"/>
        <w:jc w:val="both"/>
      </w:pPr>
      <w:r>
        <w:rPr>
          <w:rStyle w:val="Rimandonotaapidipagina"/>
        </w:rPr>
        <w:footnoteRef/>
      </w:r>
      <w:r>
        <w:t xml:space="preserve"> </w:t>
      </w:r>
      <w:r w:rsidRPr="001352BD">
        <w:t xml:space="preserve">Risultati dello studio del National </w:t>
      </w:r>
      <w:proofErr w:type="spellStart"/>
      <w:r w:rsidRPr="001352BD">
        <w:t>Toxicology</w:t>
      </w:r>
      <w:proofErr w:type="spellEnd"/>
      <w:r w:rsidRPr="001352BD">
        <w:t xml:space="preserve"> </w:t>
      </w:r>
      <w:proofErr w:type="spellStart"/>
      <w:r w:rsidRPr="001352BD">
        <w:t>Programme</w:t>
      </w:r>
      <w:proofErr w:type="spellEnd"/>
      <w:r w:rsidRPr="001352BD">
        <w:t xml:space="preserve"> su topi e ratti: https://ntp.niehs.nih.gov/results/areas/cellphones/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76C0"/>
    <w:multiLevelType w:val="hybridMultilevel"/>
    <w:tmpl w:val="591622CE"/>
    <w:lvl w:ilvl="0" w:tplc="E4564C58">
      <w:start w:val="1"/>
      <w:numFmt w:val="bullet"/>
      <w:lvlText w:val=""/>
      <w:lvlJc w:val="left"/>
      <w:pPr>
        <w:ind w:left="639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FA820132">
      <w:start w:val="1"/>
      <w:numFmt w:val="bullet"/>
      <w:lvlText w:val=""/>
      <w:lvlJc w:val="left"/>
      <w:pPr>
        <w:ind w:left="6480" w:hanging="360"/>
      </w:pPr>
      <w:rPr>
        <w:rFonts w:ascii="Symbol" w:hAnsi="Symbol" w:hint="default"/>
      </w:rPr>
    </w:lvl>
  </w:abstractNum>
  <w:abstractNum w:abstractNumId="1">
    <w:nsid w:val="33A6254C"/>
    <w:multiLevelType w:val="hybridMultilevel"/>
    <w:tmpl w:val="0C7E82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8B75293"/>
    <w:multiLevelType w:val="hybridMultilevel"/>
    <w:tmpl w:val="4E8CE30E"/>
    <w:lvl w:ilvl="0" w:tplc="0410000D">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4126C98"/>
    <w:multiLevelType w:val="hybridMultilevel"/>
    <w:tmpl w:val="7E3A10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B42D1"/>
    <w:rsid w:val="00004DCE"/>
    <w:rsid w:val="00084E55"/>
    <w:rsid w:val="000B17D3"/>
    <w:rsid w:val="000D36AD"/>
    <w:rsid w:val="000D3DA4"/>
    <w:rsid w:val="000E5764"/>
    <w:rsid w:val="000F3F32"/>
    <w:rsid w:val="00113977"/>
    <w:rsid w:val="00131E50"/>
    <w:rsid w:val="00133B3F"/>
    <w:rsid w:val="001352BD"/>
    <w:rsid w:val="0014402C"/>
    <w:rsid w:val="0016172E"/>
    <w:rsid w:val="00180BE0"/>
    <w:rsid w:val="001D0253"/>
    <w:rsid w:val="001F63FE"/>
    <w:rsid w:val="00202B8D"/>
    <w:rsid w:val="00222070"/>
    <w:rsid w:val="0027420F"/>
    <w:rsid w:val="00312D9A"/>
    <w:rsid w:val="00317F10"/>
    <w:rsid w:val="003258E2"/>
    <w:rsid w:val="003B62C6"/>
    <w:rsid w:val="003C723C"/>
    <w:rsid w:val="00400207"/>
    <w:rsid w:val="00426251"/>
    <w:rsid w:val="00445437"/>
    <w:rsid w:val="0044676B"/>
    <w:rsid w:val="00453B92"/>
    <w:rsid w:val="00490CB3"/>
    <w:rsid w:val="004B0860"/>
    <w:rsid w:val="004C18CD"/>
    <w:rsid w:val="004D3B67"/>
    <w:rsid w:val="004E7603"/>
    <w:rsid w:val="00504515"/>
    <w:rsid w:val="00527275"/>
    <w:rsid w:val="005A504B"/>
    <w:rsid w:val="005F7BE7"/>
    <w:rsid w:val="00690098"/>
    <w:rsid w:val="006B62AA"/>
    <w:rsid w:val="006D00FA"/>
    <w:rsid w:val="006E1A23"/>
    <w:rsid w:val="00706380"/>
    <w:rsid w:val="0072079F"/>
    <w:rsid w:val="0075667B"/>
    <w:rsid w:val="0077589F"/>
    <w:rsid w:val="00797DED"/>
    <w:rsid w:val="007A057F"/>
    <w:rsid w:val="00824D5F"/>
    <w:rsid w:val="00835942"/>
    <w:rsid w:val="00877855"/>
    <w:rsid w:val="008E5BBC"/>
    <w:rsid w:val="008E6D21"/>
    <w:rsid w:val="009060C0"/>
    <w:rsid w:val="00946E66"/>
    <w:rsid w:val="00971BAD"/>
    <w:rsid w:val="009D348F"/>
    <w:rsid w:val="00A03B5B"/>
    <w:rsid w:val="00A53734"/>
    <w:rsid w:val="00A540F6"/>
    <w:rsid w:val="00AA52AE"/>
    <w:rsid w:val="00AC1548"/>
    <w:rsid w:val="00B279C2"/>
    <w:rsid w:val="00B40222"/>
    <w:rsid w:val="00B56EF2"/>
    <w:rsid w:val="00B63A41"/>
    <w:rsid w:val="00B72CC0"/>
    <w:rsid w:val="00BC1A83"/>
    <w:rsid w:val="00BE68F4"/>
    <w:rsid w:val="00BF3798"/>
    <w:rsid w:val="00C10F6F"/>
    <w:rsid w:val="00C90799"/>
    <w:rsid w:val="00C91558"/>
    <w:rsid w:val="00CB42D1"/>
    <w:rsid w:val="00CF5DF1"/>
    <w:rsid w:val="00D0041F"/>
    <w:rsid w:val="00D238D2"/>
    <w:rsid w:val="00D733CA"/>
    <w:rsid w:val="00D95257"/>
    <w:rsid w:val="00D952EF"/>
    <w:rsid w:val="00DB4B97"/>
    <w:rsid w:val="00DB65EE"/>
    <w:rsid w:val="00E25627"/>
    <w:rsid w:val="00E450B3"/>
    <w:rsid w:val="00E505F1"/>
    <w:rsid w:val="00E878D1"/>
    <w:rsid w:val="00EC0692"/>
    <w:rsid w:val="00EC30CF"/>
    <w:rsid w:val="00F01DDA"/>
    <w:rsid w:val="00F73920"/>
    <w:rsid w:val="00FC3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6E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4B97"/>
    <w:pPr>
      <w:ind w:left="720"/>
      <w:contextualSpacing/>
    </w:pPr>
  </w:style>
  <w:style w:type="character" w:styleId="Enfasigrassetto">
    <w:name w:val="Strong"/>
    <w:basedOn w:val="Carpredefinitoparagrafo"/>
    <w:uiPriority w:val="22"/>
    <w:qFormat/>
    <w:rsid w:val="00EC0692"/>
    <w:rPr>
      <w:b/>
      <w:bCs/>
    </w:rPr>
  </w:style>
  <w:style w:type="paragraph" w:styleId="Testonotaapidipagina">
    <w:name w:val="footnote text"/>
    <w:basedOn w:val="Normale"/>
    <w:link w:val="TestonotaapidipaginaCarattere"/>
    <w:uiPriority w:val="99"/>
    <w:semiHidden/>
    <w:unhideWhenUsed/>
    <w:rsid w:val="001352B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52BD"/>
    <w:rPr>
      <w:sz w:val="20"/>
      <w:szCs w:val="20"/>
    </w:rPr>
  </w:style>
  <w:style w:type="character" w:styleId="Rimandonotaapidipagina">
    <w:name w:val="footnote reference"/>
    <w:basedOn w:val="Carpredefinitoparagrafo"/>
    <w:uiPriority w:val="99"/>
    <w:semiHidden/>
    <w:unhideWhenUsed/>
    <w:rsid w:val="001352BD"/>
    <w:rPr>
      <w:vertAlign w:val="superscript"/>
    </w:rPr>
  </w:style>
  <w:style w:type="character" w:styleId="Collegamentoipertestuale">
    <w:name w:val="Hyperlink"/>
    <w:basedOn w:val="Carpredefinitoparagrafo"/>
    <w:uiPriority w:val="99"/>
    <w:unhideWhenUsed/>
    <w:rsid w:val="00AC1548"/>
    <w:rPr>
      <w:color w:val="0000FF"/>
      <w:u w:val="single"/>
    </w:rPr>
  </w:style>
  <w:style w:type="character" w:customStyle="1" w:styleId="UnresolvedMention">
    <w:name w:val="Unresolved Mention"/>
    <w:basedOn w:val="Carpredefinitoparagrafo"/>
    <w:uiPriority w:val="99"/>
    <w:semiHidden/>
    <w:unhideWhenUsed/>
    <w:rsid w:val="007207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7883A-E78C-4322-B8CF-7356173B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5</Pages>
  <Words>1715</Words>
  <Characters>9777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Teodoro Giuseppe</dc:creator>
  <cp:keywords/>
  <dc:description/>
  <cp:lastModifiedBy>User</cp:lastModifiedBy>
  <cp:revision>44</cp:revision>
  <dcterms:created xsi:type="dcterms:W3CDTF">2021-04-05T10:25:00Z</dcterms:created>
  <dcterms:modified xsi:type="dcterms:W3CDTF">2021-04-17T16:35:00Z</dcterms:modified>
</cp:coreProperties>
</file>